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223C8" w14:textId="77777777" w:rsidR="00C72B8C" w:rsidRPr="00F16969" w:rsidRDefault="00A73F49" w:rsidP="00C72B8C">
      <w:pPr>
        <w:spacing w:after="0"/>
        <w:jc w:val="center"/>
        <w:rPr>
          <w:rFonts w:cstheme="minorHAnsi"/>
          <w:b/>
          <w:sz w:val="32"/>
          <w:szCs w:val="32"/>
        </w:rPr>
      </w:pPr>
      <w:bookmarkStart w:id="0" w:name="_GoBack"/>
      <w:bookmarkEnd w:id="0"/>
      <w:r w:rsidRPr="00F16969">
        <w:rPr>
          <w:rFonts w:cstheme="minorHAnsi"/>
          <w:b/>
          <w:sz w:val="32"/>
          <w:szCs w:val="32"/>
        </w:rPr>
        <w:t xml:space="preserve">Техническое задание </w:t>
      </w:r>
    </w:p>
    <w:p w14:paraId="0DC3945D" w14:textId="0CF1433C" w:rsidR="002E00D9" w:rsidRPr="00F16969" w:rsidRDefault="009D30EF" w:rsidP="00C72B8C">
      <w:pPr>
        <w:spacing w:after="0"/>
        <w:jc w:val="center"/>
        <w:rPr>
          <w:rFonts w:cstheme="minorHAnsi"/>
          <w:sz w:val="24"/>
          <w:szCs w:val="24"/>
        </w:rPr>
      </w:pPr>
      <w:r w:rsidRPr="00F16969">
        <w:rPr>
          <w:rFonts w:cstheme="minorHAnsi"/>
          <w:sz w:val="24"/>
          <w:szCs w:val="24"/>
        </w:rPr>
        <w:t>н</w:t>
      </w:r>
      <w:r w:rsidR="00C72B8C" w:rsidRPr="00F16969">
        <w:rPr>
          <w:rFonts w:cstheme="minorHAnsi"/>
          <w:sz w:val="24"/>
          <w:szCs w:val="24"/>
        </w:rPr>
        <w:t xml:space="preserve">а оказание Услуг по </w:t>
      </w:r>
      <w:r w:rsidR="008D50AF" w:rsidRPr="00F16969">
        <w:rPr>
          <w:rFonts w:cstheme="minorHAnsi"/>
          <w:sz w:val="24"/>
          <w:szCs w:val="24"/>
        </w:rPr>
        <w:t xml:space="preserve">выявлению и </w:t>
      </w:r>
      <w:r w:rsidR="004635BE" w:rsidRPr="00F16969">
        <w:rPr>
          <w:rFonts w:cstheme="minorHAnsi"/>
          <w:sz w:val="24"/>
          <w:szCs w:val="24"/>
        </w:rPr>
        <w:t>описанию сделок, нанесших ущерб</w:t>
      </w:r>
      <w:r w:rsidR="008D50AF" w:rsidRPr="00F16969">
        <w:rPr>
          <w:rFonts w:cstheme="minorHAnsi"/>
          <w:sz w:val="24"/>
          <w:szCs w:val="24"/>
        </w:rPr>
        <w:t xml:space="preserve"> </w:t>
      </w:r>
      <w:r w:rsidR="003656D7" w:rsidRPr="00F16969">
        <w:rPr>
          <w:rFonts w:cstheme="minorHAnsi"/>
          <w:sz w:val="24"/>
          <w:szCs w:val="24"/>
        </w:rPr>
        <w:t>Банку «Траст» (ПАО)</w:t>
      </w:r>
      <w:r w:rsidR="001A1ABD">
        <w:rPr>
          <w:rFonts w:cstheme="minorHAnsi"/>
          <w:sz w:val="24"/>
          <w:szCs w:val="24"/>
        </w:rPr>
        <w:t>, их бенефициаров</w:t>
      </w:r>
    </w:p>
    <w:p w14:paraId="1C069626" w14:textId="77777777" w:rsidR="00F16969" w:rsidRPr="004E359E" w:rsidRDefault="00F16969" w:rsidP="00C72B8C">
      <w:pPr>
        <w:spacing w:after="0"/>
        <w:jc w:val="center"/>
        <w:rPr>
          <w:rFonts w:cstheme="minorHAnsi"/>
          <w:szCs w:val="20"/>
        </w:rPr>
      </w:pPr>
    </w:p>
    <w:tbl>
      <w:tblPr>
        <w:tblStyle w:val="a3"/>
        <w:tblW w:w="0" w:type="auto"/>
        <w:tblLook w:val="04A0" w:firstRow="1" w:lastRow="0" w:firstColumn="1" w:lastColumn="0" w:noHBand="0" w:noVBand="1"/>
      </w:tblPr>
      <w:tblGrid>
        <w:gridCol w:w="3397"/>
        <w:gridCol w:w="5948"/>
      </w:tblGrid>
      <w:tr w:rsidR="00A73F49" w:rsidRPr="004E359E" w14:paraId="0450907C" w14:textId="77777777" w:rsidTr="00F15C4F">
        <w:tc>
          <w:tcPr>
            <w:tcW w:w="3397" w:type="dxa"/>
          </w:tcPr>
          <w:p w14:paraId="231F6C0F" w14:textId="77777777" w:rsidR="00A73F49" w:rsidRPr="00F16969" w:rsidRDefault="00A73F49" w:rsidP="00A73F49">
            <w:pPr>
              <w:rPr>
                <w:sz w:val="24"/>
                <w:szCs w:val="24"/>
              </w:rPr>
            </w:pPr>
            <w:r w:rsidRPr="00F16969">
              <w:rPr>
                <w:sz w:val="24"/>
                <w:szCs w:val="24"/>
              </w:rPr>
              <w:t>Предмет оказания услуг</w:t>
            </w:r>
          </w:p>
        </w:tc>
        <w:tc>
          <w:tcPr>
            <w:tcW w:w="5948" w:type="dxa"/>
          </w:tcPr>
          <w:p w14:paraId="07813EBD" w14:textId="1AC509DA" w:rsidR="00A73F49" w:rsidRPr="00F16969" w:rsidRDefault="009D30EF" w:rsidP="00C66C6C">
            <w:pPr>
              <w:jc w:val="both"/>
              <w:rPr>
                <w:sz w:val="24"/>
                <w:szCs w:val="24"/>
              </w:rPr>
            </w:pPr>
            <w:r w:rsidRPr="00F16969">
              <w:rPr>
                <w:rFonts w:cstheme="minorHAnsi"/>
                <w:sz w:val="24"/>
                <w:szCs w:val="24"/>
              </w:rPr>
              <w:t xml:space="preserve">выявление операций </w:t>
            </w:r>
            <w:r w:rsidR="00C66C6C">
              <w:rPr>
                <w:rFonts w:cstheme="minorHAnsi"/>
                <w:sz w:val="24"/>
                <w:szCs w:val="24"/>
              </w:rPr>
              <w:t>Группы компаний</w:t>
            </w:r>
            <w:r w:rsidR="00BB19A9">
              <w:rPr>
                <w:rStyle w:val="a6"/>
                <w:rFonts w:cstheme="minorHAnsi"/>
                <w:sz w:val="24"/>
                <w:szCs w:val="24"/>
              </w:rPr>
              <w:footnoteReference w:id="1"/>
            </w:r>
            <w:r w:rsidR="00A73F49" w:rsidRPr="00F16969">
              <w:rPr>
                <w:rFonts w:cstheme="minorHAnsi"/>
                <w:sz w:val="24"/>
                <w:szCs w:val="24"/>
              </w:rPr>
              <w:t>, нанесших ущерб Банку «Траст» (ПАО) (далее – Банк), установление</w:t>
            </w:r>
            <w:r w:rsidR="001B3DD4" w:rsidRPr="00F16969">
              <w:rPr>
                <w:rFonts w:cstheme="minorHAnsi"/>
                <w:sz w:val="24"/>
                <w:szCs w:val="24"/>
              </w:rPr>
              <w:t xml:space="preserve"> бенефициаров указанных сделок</w:t>
            </w:r>
            <w:r w:rsidR="00C07670">
              <w:rPr>
                <w:rFonts w:cstheme="minorHAnsi"/>
                <w:sz w:val="24"/>
                <w:szCs w:val="24"/>
              </w:rPr>
              <w:t xml:space="preserve"> </w:t>
            </w:r>
            <w:r w:rsidR="00C07670" w:rsidRPr="00C07670">
              <w:rPr>
                <w:rFonts w:cstheme="minorHAnsi"/>
                <w:sz w:val="24"/>
                <w:szCs w:val="24"/>
              </w:rPr>
              <w:t>и подготовка материалов для предъявления исков в суды РФ и иностранных юрисдикций (далее – Услуги).</w:t>
            </w:r>
          </w:p>
        </w:tc>
      </w:tr>
      <w:tr w:rsidR="00A73F49" w:rsidRPr="004E359E" w14:paraId="3D5E7C0B" w14:textId="77777777" w:rsidTr="00F15C4F">
        <w:tc>
          <w:tcPr>
            <w:tcW w:w="3397" w:type="dxa"/>
          </w:tcPr>
          <w:p w14:paraId="21C3A4E3" w14:textId="77777777" w:rsidR="00A73F49" w:rsidRPr="00F16969" w:rsidRDefault="00A73F49">
            <w:pPr>
              <w:rPr>
                <w:sz w:val="24"/>
                <w:szCs w:val="24"/>
              </w:rPr>
            </w:pPr>
            <w:r w:rsidRPr="00F16969">
              <w:rPr>
                <w:rFonts w:cstheme="minorHAnsi"/>
                <w:sz w:val="24"/>
                <w:szCs w:val="24"/>
              </w:rPr>
              <w:t>Период исследования:</w:t>
            </w:r>
          </w:p>
        </w:tc>
        <w:tc>
          <w:tcPr>
            <w:tcW w:w="5948" w:type="dxa"/>
          </w:tcPr>
          <w:p w14:paraId="69996903" w14:textId="4FB890F3" w:rsidR="00A73F49" w:rsidRPr="00F16969" w:rsidRDefault="000F3C78" w:rsidP="000F3C78">
            <w:pPr>
              <w:rPr>
                <w:sz w:val="24"/>
                <w:szCs w:val="24"/>
              </w:rPr>
            </w:pPr>
            <w:r w:rsidRPr="00F16969">
              <w:rPr>
                <w:rFonts w:cstheme="minorHAnsi"/>
                <w:sz w:val="24"/>
                <w:szCs w:val="24"/>
              </w:rPr>
              <w:t>январь 2013</w:t>
            </w:r>
            <w:r w:rsidR="00A73F49" w:rsidRPr="00F16969">
              <w:rPr>
                <w:rFonts w:cstheme="minorHAnsi"/>
                <w:sz w:val="24"/>
                <w:szCs w:val="24"/>
              </w:rPr>
              <w:t xml:space="preserve"> г. – август 2017 г.</w:t>
            </w:r>
          </w:p>
        </w:tc>
      </w:tr>
      <w:tr w:rsidR="00A73F49" w:rsidRPr="004E359E" w14:paraId="1E6FB0A0" w14:textId="77777777" w:rsidTr="00F15C4F">
        <w:tc>
          <w:tcPr>
            <w:tcW w:w="3397" w:type="dxa"/>
          </w:tcPr>
          <w:p w14:paraId="6CC997AC" w14:textId="77777777" w:rsidR="00A73F49" w:rsidRPr="00F16969" w:rsidRDefault="00A73F49" w:rsidP="00A73F49">
            <w:pPr>
              <w:pStyle w:val="Default"/>
              <w:rPr>
                <w:rFonts w:ascii="Verdana" w:hAnsi="Verdana"/>
              </w:rPr>
            </w:pPr>
            <w:r w:rsidRPr="00F16969">
              <w:rPr>
                <w:rFonts w:ascii="Verdana" w:hAnsi="Verdana"/>
                <w:b/>
                <w:bCs/>
              </w:rPr>
              <w:t xml:space="preserve">Этапы оказания Услуг </w:t>
            </w:r>
          </w:p>
        </w:tc>
        <w:tc>
          <w:tcPr>
            <w:tcW w:w="5948" w:type="dxa"/>
          </w:tcPr>
          <w:p w14:paraId="0CCC8DFC" w14:textId="77777777" w:rsidR="00A73F49" w:rsidRPr="00F16969" w:rsidRDefault="00A73F49">
            <w:pPr>
              <w:rPr>
                <w:sz w:val="24"/>
                <w:szCs w:val="24"/>
              </w:rPr>
            </w:pPr>
          </w:p>
        </w:tc>
      </w:tr>
      <w:tr w:rsidR="00A73F49" w:rsidRPr="004E359E" w14:paraId="2734DD57" w14:textId="77777777" w:rsidTr="00F15C4F">
        <w:tc>
          <w:tcPr>
            <w:tcW w:w="3397" w:type="dxa"/>
          </w:tcPr>
          <w:p w14:paraId="3DD7A6D1" w14:textId="77777777" w:rsidR="00A73F49" w:rsidRPr="00F16969" w:rsidRDefault="00A73F49">
            <w:pPr>
              <w:rPr>
                <w:sz w:val="24"/>
                <w:szCs w:val="24"/>
              </w:rPr>
            </w:pPr>
            <w:r w:rsidRPr="00F16969">
              <w:rPr>
                <w:rFonts w:cstheme="minorHAnsi"/>
                <w:sz w:val="24"/>
                <w:szCs w:val="24"/>
              </w:rPr>
              <w:t>Этап 1</w:t>
            </w:r>
          </w:p>
        </w:tc>
        <w:tc>
          <w:tcPr>
            <w:tcW w:w="5948" w:type="dxa"/>
          </w:tcPr>
          <w:p w14:paraId="15277EB7" w14:textId="77777777" w:rsidR="00A73F49" w:rsidRPr="00F16969" w:rsidRDefault="00A73F49">
            <w:pPr>
              <w:rPr>
                <w:sz w:val="24"/>
                <w:szCs w:val="24"/>
              </w:rPr>
            </w:pPr>
          </w:p>
        </w:tc>
      </w:tr>
      <w:tr w:rsidR="00A73F49" w:rsidRPr="004E359E" w14:paraId="77841A10" w14:textId="77777777" w:rsidTr="00F15C4F">
        <w:tc>
          <w:tcPr>
            <w:tcW w:w="3397" w:type="dxa"/>
          </w:tcPr>
          <w:p w14:paraId="321C288D" w14:textId="77777777" w:rsidR="00A73F49" w:rsidRPr="00F16969" w:rsidRDefault="00A73F49" w:rsidP="00A73F49">
            <w:pPr>
              <w:rPr>
                <w:sz w:val="24"/>
                <w:szCs w:val="24"/>
              </w:rPr>
            </w:pPr>
            <w:proofErr w:type="spellStart"/>
            <w:r w:rsidRPr="00F16969">
              <w:rPr>
                <w:rFonts w:cstheme="minorHAnsi"/>
                <w:color w:val="1F4D78" w:themeColor="accent1" w:themeShade="7F"/>
                <w:sz w:val="24"/>
                <w:szCs w:val="24"/>
              </w:rPr>
              <w:t>Подэтап</w:t>
            </w:r>
            <w:proofErr w:type="spellEnd"/>
            <w:r w:rsidRPr="00F16969">
              <w:rPr>
                <w:rFonts w:cstheme="minorHAnsi"/>
                <w:color w:val="1F4D78" w:themeColor="accent1" w:themeShade="7F"/>
                <w:sz w:val="24"/>
                <w:szCs w:val="24"/>
              </w:rPr>
              <w:t xml:space="preserve"> 1.1.</w:t>
            </w:r>
          </w:p>
        </w:tc>
        <w:tc>
          <w:tcPr>
            <w:tcW w:w="5948" w:type="dxa"/>
          </w:tcPr>
          <w:p w14:paraId="7D4C69CF" w14:textId="77777777" w:rsidR="00A73F49" w:rsidRPr="00F16969" w:rsidRDefault="00A73F49">
            <w:pPr>
              <w:rPr>
                <w:sz w:val="24"/>
                <w:szCs w:val="24"/>
              </w:rPr>
            </w:pPr>
            <w:r w:rsidRPr="00F16969">
              <w:rPr>
                <w:rFonts w:cstheme="minorHAnsi"/>
                <w:color w:val="1F4D78" w:themeColor="accent1" w:themeShade="7F"/>
                <w:sz w:val="24"/>
                <w:szCs w:val="24"/>
              </w:rPr>
              <w:t>Инвентаризация данных</w:t>
            </w:r>
          </w:p>
        </w:tc>
      </w:tr>
      <w:tr w:rsidR="00A73F49" w:rsidRPr="006306EE" w14:paraId="6DB50853" w14:textId="77777777" w:rsidTr="00F15C4F">
        <w:tc>
          <w:tcPr>
            <w:tcW w:w="3397" w:type="dxa"/>
          </w:tcPr>
          <w:p w14:paraId="21E8DF5C" w14:textId="77777777" w:rsidR="00A73F49" w:rsidRPr="00F16969" w:rsidRDefault="00A73F49">
            <w:pPr>
              <w:rPr>
                <w:sz w:val="24"/>
                <w:szCs w:val="24"/>
              </w:rPr>
            </w:pPr>
          </w:p>
        </w:tc>
        <w:tc>
          <w:tcPr>
            <w:tcW w:w="5948" w:type="dxa"/>
          </w:tcPr>
          <w:p w14:paraId="7DCD9686" w14:textId="77777777" w:rsidR="00A73F49" w:rsidRPr="00F16969" w:rsidRDefault="00A73F49" w:rsidP="00A73F49">
            <w:pPr>
              <w:pStyle w:val="2"/>
              <w:jc w:val="both"/>
              <w:rPr>
                <w:rFonts w:ascii="Verdana" w:hAnsi="Verdana" w:cstheme="minorHAnsi"/>
                <w:sz w:val="24"/>
                <w:szCs w:val="24"/>
                <w:lang w:val="ru-RU"/>
              </w:rPr>
            </w:pPr>
            <w:r w:rsidRPr="00F16969">
              <w:rPr>
                <w:rFonts w:ascii="Verdana" w:hAnsi="Verdana" w:cstheme="minorHAnsi"/>
                <w:sz w:val="24"/>
                <w:szCs w:val="24"/>
                <w:lang w:val="ru-RU"/>
              </w:rPr>
              <w:t>Идентификация мест хранения потенциально релевантной информации, фиксация состояния систем хранения данных. Инвентаризация источников информации на электронных и бумажных носителях</w:t>
            </w:r>
            <w:r w:rsidR="00453F57" w:rsidRPr="00F16969">
              <w:rPr>
                <w:rFonts w:ascii="Verdana" w:hAnsi="Verdana" w:cstheme="minorHAnsi"/>
                <w:sz w:val="24"/>
                <w:szCs w:val="24"/>
                <w:lang w:val="ru-RU"/>
              </w:rPr>
              <w:t xml:space="preserve"> (предварительно РФ, Кипр)</w:t>
            </w:r>
            <w:r w:rsidRPr="00F16969">
              <w:rPr>
                <w:rFonts w:ascii="Verdana" w:hAnsi="Verdana" w:cstheme="minorHAnsi"/>
                <w:sz w:val="24"/>
                <w:szCs w:val="24"/>
                <w:lang w:val="ru-RU"/>
              </w:rPr>
              <w:t>.</w:t>
            </w:r>
          </w:p>
          <w:p w14:paraId="19197F3E" w14:textId="77777777" w:rsidR="004E7CFD" w:rsidRPr="00F16969" w:rsidRDefault="00A73F49" w:rsidP="004E7CFD">
            <w:pPr>
              <w:pStyle w:val="2"/>
              <w:jc w:val="both"/>
              <w:rPr>
                <w:sz w:val="24"/>
                <w:szCs w:val="24"/>
                <w:lang w:val="ru-RU"/>
              </w:rPr>
            </w:pPr>
            <w:r w:rsidRPr="00F16969">
              <w:rPr>
                <w:rFonts w:ascii="Verdana" w:hAnsi="Verdana" w:cstheme="minorHAnsi"/>
                <w:sz w:val="24"/>
                <w:szCs w:val="24"/>
                <w:lang w:val="ru-RU"/>
              </w:rPr>
              <w:t>Оказание методологической и технической помощи в обеспечении сохранности оборудования и данных.</w:t>
            </w:r>
          </w:p>
          <w:p w14:paraId="5545B170" w14:textId="7544EB67" w:rsidR="00A73F49" w:rsidRPr="00F16969" w:rsidRDefault="00A73F49" w:rsidP="001B3DD4">
            <w:pPr>
              <w:pStyle w:val="2"/>
              <w:jc w:val="both"/>
              <w:rPr>
                <w:sz w:val="24"/>
                <w:szCs w:val="24"/>
                <w:lang w:val="ru-RU"/>
              </w:rPr>
            </w:pPr>
            <w:r w:rsidRPr="00F16969">
              <w:rPr>
                <w:rFonts w:ascii="Verdana" w:hAnsi="Verdana" w:cstheme="minorHAnsi"/>
                <w:sz w:val="24"/>
                <w:szCs w:val="24"/>
                <w:lang w:val="ru-RU"/>
              </w:rPr>
              <w:t>Создание криминалистических образов носителей информации (при необходимости), документировани</w:t>
            </w:r>
            <w:r w:rsidR="001B3DD4" w:rsidRPr="00F16969">
              <w:rPr>
                <w:rFonts w:ascii="Verdana" w:hAnsi="Verdana" w:cstheme="minorHAnsi"/>
                <w:sz w:val="24"/>
                <w:szCs w:val="24"/>
                <w:lang w:val="ru-RU"/>
              </w:rPr>
              <w:t>е</w:t>
            </w:r>
            <w:r w:rsidRPr="00F16969">
              <w:rPr>
                <w:rFonts w:ascii="Verdana" w:hAnsi="Verdana" w:cstheme="minorHAnsi"/>
                <w:sz w:val="24"/>
                <w:szCs w:val="24"/>
                <w:lang w:val="ru-RU"/>
              </w:rPr>
              <w:t xml:space="preserve"> процесса извлечения данных</w:t>
            </w:r>
            <w:r w:rsidRPr="00F16969">
              <w:rPr>
                <w:sz w:val="24"/>
                <w:szCs w:val="24"/>
                <w:vertAlign w:val="superscript"/>
              </w:rPr>
              <w:footnoteReference w:id="2"/>
            </w:r>
            <w:r w:rsidRPr="00F16969">
              <w:rPr>
                <w:rFonts w:cstheme="minorHAnsi"/>
                <w:sz w:val="24"/>
                <w:szCs w:val="24"/>
                <w:lang w:val="ru-RU"/>
              </w:rPr>
              <w:t>.</w:t>
            </w:r>
          </w:p>
        </w:tc>
      </w:tr>
      <w:tr w:rsidR="00A73F49" w:rsidRPr="004E359E" w14:paraId="59CAF439" w14:textId="77777777" w:rsidTr="00F15C4F">
        <w:tc>
          <w:tcPr>
            <w:tcW w:w="3397" w:type="dxa"/>
          </w:tcPr>
          <w:p w14:paraId="550D54E8" w14:textId="77777777" w:rsidR="00A73F49" w:rsidRPr="00F16969" w:rsidRDefault="00A73F49" w:rsidP="00A73F49">
            <w:pPr>
              <w:rPr>
                <w:sz w:val="24"/>
                <w:szCs w:val="24"/>
              </w:rPr>
            </w:pPr>
            <w:proofErr w:type="spellStart"/>
            <w:r w:rsidRPr="00F16969">
              <w:rPr>
                <w:rFonts w:cstheme="minorHAnsi"/>
                <w:color w:val="1F4D78" w:themeColor="accent1" w:themeShade="7F"/>
                <w:sz w:val="24"/>
                <w:szCs w:val="24"/>
              </w:rPr>
              <w:t>Подэтап</w:t>
            </w:r>
            <w:proofErr w:type="spellEnd"/>
            <w:r w:rsidRPr="00F16969">
              <w:rPr>
                <w:rFonts w:cstheme="minorHAnsi"/>
                <w:color w:val="1F4D78" w:themeColor="accent1" w:themeShade="7F"/>
                <w:sz w:val="24"/>
                <w:szCs w:val="24"/>
              </w:rPr>
              <w:t xml:space="preserve"> 1.2. </w:t>
            </w:r>
          </w:p>
        </w:tc>
        <w:tc>
          <w:tcPr>
            <w:tcW w:w="5948" w:type="dxa"/>
          </w:tcPr>
          <w:p w14:paraId="7B7F32C0" w14:textId="3D9CFA51" w:rsidR="00A73F49" w:rsidRPr="00F16969" w:rsidRDefault="00A73F49" w:rsidP="00654F5E">
            <w:pPr>
              <w:rPr>
                <w:sz w:val="24"/>
                <w:szCs w:val="24"/>
              </w:rPr>
            </w:pPr>
            <w:r w:rsidRPr="00F16969">
              <w:rPr>
                <w:rFonts w:cstheme="minorHAnsi"/>
                <w:color w:val="1F4D78" w:themeColor="accent1" w:themeShade="7F"/>
                <w:sz w:val="24"/>
                <w:szCs w:val="24"/>
              </w:rPr>
              <w:t xml:space="preserve">Анализ структуры </w:t>
            </w:r>
            <w:r w:rsidR="00654F5E">
              <w:rPr>
                <w:rFonts w:cstheme="minorHAnsi"/>
                <w:color w:val="1F4D78" w:themeColor="accent1" w:themeShade="7F"/>
                <w:sz w:val="24"/>
                <w:szCs w:val="24"/>
              </w:rPr>
              <w:t>Группы компаний</w:t>
            </w:r>
            <w:r w:rsidRPr="00F16969">
              <w:rPr>
                <w:rFonts w:cstheme="minorHAnsi"/>
                <w:color w:val="1F4D78" w:themeColor="accent1" w:themeShade="7F"/>
                <w:sz w:val="24"/>
                <w:szCs w:val="24"/>
              </w:rPr>
              <w:t xml:space="preserve">, </w:t>
            </w:r>
            <w:r w:rsidR="00654F5E">
              <w:rPr>
                <w:rFonts w:cstheme="minorHAnsi"/>
                <w:color w:val="1F4D78" w:themeColor="accent1" w:themeShade="7F"/>
                <w:sz w:val="24"/>
                <w:szCs w:val="24"/>
              </w:rPr>
              <w:t>их</w:t>
            </w:r>
            <w:r w:rsidRPr="00F16969">
              <w:rPr>
                <w:rFonts w:cstheme="minorHAnsi"/>
                <w:color w:val="1F4D78" w:themeColor="accent1" w:themeShade="7F"/>
                <w:sz w:val="24"/>
                <w:szCs w:val="24"/>
              </w:rPr>
              <w:t xml:space="preserve"> операций и транзакций, требований Банка к </w:t>
            </w:r>
            <w:r w:rsidR="00654F5E">
              <w:rPr>
                <w:rFonts w:cstheme="minorHAnsi"/>
                <w:color w:val="1F4D78" w:themeColor="accent1" w:themeShade="7F"/>
                <w:sz w:val="24"/>
                <w:szCs w:val="24"/>
              </w:rPr>
              <w:t xml:space="preserve">Группе компаний </w:t>
            </w:r>
            <w:r w:rsidRPr="00F16969">
              <w:rPr>
                <w:rFonts w:cstheme="minorHAnsi"/>
                <w:color w:val="1F4D78" w:themeColor="accent1" w:themeShade="7F"/>
                <w:sz w:val="24"/>
                <w:szCs w:val="24"/>
              </w:rPr>
              <w:t>на предмет выявления сделок, нанесших ущерб Банку</w:t>
            </w:r>
          </w:p>
        </w:tc>
      </w:tr>
      <w:tr w:rsidR="00A73F49" w:rsidRPr="004E359E" w14:paraId="52BFC59A" w14:textId="77777777" w:rsidTr="00F15C4F">
        <w:tc>
          <w:tcPr>
            <w:tcW w:w="3397" w:type="dxa"/>
          </w:tcPr>
          <w:p w14:paraId="5A080DF1" w14:textId="77777777" w:rsidR="00A73F49" w:rsidRPr="00F16969" w:rsidRDefault="00A73F49">
            <w:pPr>
              <w:rPr>
                <w:sz w:val="24"/>
                <w:szCs w:val="24"/>
              </w:rPr>
            </w:pPr>
          </w:p>
        </w:tc>
        <w:tc>
          <w:tcPr>
            <w:tcW w:w="5948" w:type="dxa"/>
          </w:tcPr>
          <w:p w14:paraId="020BAB39" w14:textId="77777777" w:rsidR="00A73F49" w:rsidRPr="00F16969" w:rsidRDefault="00A73F49" w:rsidP="00A73F49">
            <w:pPr>
              <w:pStyle w:val="2"/>
              <w:jc w:val="both"/>
              <w:rPr>
                <w:rFonts w:ascii="Verdana" w:hAnsi="Verdana" w:cstheme="minorHAnsi"/>
                <w:sz w:val="24"/>
                <w:szCs w:val="24"/>
                <w:lang w:val="ru-RU"/>
              </w:rPr>
            </w:pPr>
            <w:r w:rsidRPr="00F16969">
              <w:rPr>
                <w:rFonts w:ascii="Verdana" w:hAnsi="Verdana" w:cstheme="minorHAnsi"/>
                <w:sz w:val="24"/>
                <w:szCs w:val="24"/>
                <w:lang w:val="ru-RU"/>
              </w:rPr>
              <w:t>Выявление полного перечня лиц, являвшихся бенефициарами группы в течение периода исследования.</w:t>
            </w:r>
          </w:p>
          <w:p w14:paraId="14B466ED" w14:textId="77777777" w:rsidR="00A73F49" w:rsidRPr="00F16969" w:rsidRDefault="00A73F49" w:rsidP="00A73F49">
            <w:pPr>
              <w:pStyle w:val="2"/>
              <w:jc w:val="both"/>
              <w:rPr>
                <w:rFonts w:ascii="Verdana" w:hAnsi="Verdana" w:cstheme="minorHAnsi"/>
                <w:sz w:val="24"/>
                <w:szCs w:val="24"/>
                <w:lang w:val="ru-RU"/>
              </w:rPr>
            </w:pPr>
            <w:r w:rsidRPr="00F16969">
              <w:rPr>
                <w:rFonts w:ascii="Verdana" w:hAnsi="Verdana" w:cstheme="minorHAnsi"/>
                <w:sz w:val="24"/>
                <w:szCs w:val="24"/>
                <w:lang w:val="ru-RU"/>
              </w:rPr>
              <w:t>Выявление перечня компаний в периметре группы в течение периода исследования.</w:t>
            </w:r>
          </w:p>
          <w:p w14:paraId="67DD54EF" w14:textId="6C1AFA71" w:rsidR="00A73F49" w:rsidRPr="00F16969" w:rsidRDefault="00A73F49" w:rsidP="00A73F49">
            <w:pPr>
              <w:pStyle w:val="2"/>
              <w:jc w:val="both"/>
              <w:rPr>
                <w:rFonts w:ascii="Verdana" w:hAnsi="Verdana" w:cstheme="minorHAnsi"/>
                <w:sz w:val="24"/>
                <w:szCs w:val="24"/>
                <w:lang w:val="ru-RU"/>
              </w:rPr>
            </w:pPr>
            <w:r w:rsidRPr="00F16969">
              <w:rPr>
                <w:rFonts w:ascii="Verdana" w:hAnsi="Verdana" w:cstheme="minorHAnsi"/>
                <w:sz w:val="24"/>
                <w:szCs w:val="24"/>
                <w:lang w:val="ru-RU"/>
              </w:rPr>
              <w:t xml:space="preserve">Выявление крупных сделок </w:t>
            </w:r>
            <w:r w:rsidR="00654F5E">
              <w:rPr>
                <w:rFonts w:ascii="Verdana" w:hAnsi="Verdana" w:cstheme="minorHAnsi"/>
                <w:sz w:val="24"/>
                <w:szCs w:val="24"/>
                <w:lang w:val="ru-RU"/>
              </w:rPr>
              <w:t xml:space="preserve">Группы компаний </w:t>
            </w:r>
            <w:r w:rsidRPr="00F16969">
              <w:rPr>
                <w:rFonts w:ascii="Verdana" w:hAnsi="Verdana" w:cstheme="minorHAnsi"/>
                <w:sz w:val="24"/>
                <w:szCs w:val="24"/>
                <w:lang w:val="ru-RU"/>
              </w:rPr>
              <w:t xml:space="preserve">в рамках периода исследования. </w:t>
            </w:r>
          </w:p>
          <w:p w14:paraId="31104691" w14:textId="77777777" w:rsidR="00A73F49" w:rsidRPr="00F16969" w:rsidRDefault="00A73F49" w:rsidP="00A73F49">
            <w:pPr>
              <w:pStyle w:val="2"/>
              <w:jc w:val="both"/>
              <w:rPr>
                <w:rFonts w:ascii="Verdana" w:hAnsi="Verdana" w:cstheme="minorHAnsi"/>
                <w:sz w:val="24"/>
                <w:szCs w:val="24"/>
                <w:lang w:val="ru-RU"/>
              </w:rPr>
            </w:pPr>
            <w:r w:rsidRPr="00F16969">
              <w:rPr>
                <w:rFonts w:ascii="Verdana" w:hAnsi="Verdana" w:cstheme="minorHAnsi"/>
                <w:sz w:val="24"/>
                <w:szCs w:val="24"/>
                <w:lang w:val="ru-RU"/>
              </w:rPr>
              <w:lastRenderedPageBreak/>
              <w:t>Построение графика хронологической последовательности выявленных событий (изменений, сделок).</w:t>
            </w:r>
          </w:p>
          <w:p w14:paraId="586FF82C" w14:textId="362B43A4" w:rsidR="00A73F49" w:rsidRPr="00F16969" w:rsidRDefault="00A73F49" w:rsidP="00A73F49">
            <w:pPr>
              <w:pStyle w:val="2"/>
              <w:jc w:val="both"/>
              <w:rPr>
                <w:rFonts w:ascii="Verdana" w:hAnsi="Verdana" w:cstheme="minorHAnsi"/>
                <w:sz w:val="24"/>
                <w:szCs w:val="24"/>
                <w:lang w:val="ru-RU"/>
              </w:rPr>
            </w:pPr>
            <w:r w:rsidRPr="00F16969">
              <w:rPr>
                <w:rFonts w:ascii="Verdana" w:hAnsi="Verdana" w:cstheme="minorHAnsi"/>
                <w:sz w:val="24"/>
                <w:szCs w:val="24"/>
                <w:lang w:val="ru-RU"/>
              </w:rPr>
              <w:t xml:space="preserve">Общий анализ эффективности деятельности </w:t>
            </w:r>
            <w:r w:rsidR="00654F5E">
              <w:rPr>
                <w:rFonts w:ascii="Verdana" w:hAnsi="Verdana" w:cstheme="minorHAnsi"/>
                <w:sz w:val="24"/>
                <w:szCs w:val="24"/>
                <w:lang w:val="ru-RU"/>
              </w:rPr>
              <w:t>Группы компаний</w:t>
            </w:r>
            <w:r w:rsidRPr="00F16969">
              <w:rPr>
                <w:rFonts w:ascii="Verdana" w:hAnsi="Verdana" w:cstheme="minorHAnsi"/>
                <w:sz w:val="24"/>
                <w:szCs w:val="24"/>
                <w:lang w:val="ru-RU"/>
              </w:rPr>
              <w:t xml:space="preserve"> на основе данных открытых источников (финансовой отчетности, годовых отчетов).</w:t>
            </w:r>
          </w:p>
          <w:p w14:paraId="5A90A578" w14:textId="77777777" w:rsidR="00A73F49" w:rsidRPr="00F16969" w:rsidRDefault="00A73F49" w:rsidP="00A73F49">
            <w:pPr>
              <w:pStyle w:val="2"/>
              <w:jc w:val="both"/>
              <w:rPr>
                <w:rFonts w:ascii="Verdana" w:hAnsi="Verdana" w:cstheme="minorHAnsi"/>
                <w:sz w:val="24"/>
                <w:szCs w:val="24"/>
                <w:lang w:val="ru-RU"/>
              </w:rPr>
            </w:pPr>
            <w:r w:rsidRPr="00F16969">
              <w:rPr>
                <w:rFonts w:ascii="Verdana" w:hAnsi="Verdana" w:cstheme="minorHAnsi"/>
                <w:sz w:val="24"/>
                <w:szCs w:val="24"/>
                <w:lang w:val="ru-RU"/>
              </w:rPr>
              <w:t>Анализ результатов проведенных расследований и исследований Временной администрации, назначенной Центральным Банком России, сотрудников Банка и АСВ (при наличии).</w:t>
            </w:r>
          </w:p>
          <w:p w14:paraId="7A28E59A" w14:textId="05A5D527" w:rsidR="00A73F49" w:rsidRPr="00F16969" w:rsidRDefault="00A73F49" w:rsidP="00A73F49">
            <w:pPr>
              <w:pStyle w:val="2"/>
              <w:jc w:val="both"/>
              <w:rPr>
                <w:rFonts w:ascii="Verdana" w:hAnsi="Verdana" w:cstheme="minorHAnsi"/>
                <w:sz w:val="24"/>
                <w:szCs w:val="24"/>
                <w:lang w:val="ru-RU"/>
              </w:rPr>
            </w:pPr>
            <w:r w:rsidRPr="00F16969">
              <w:rPr>
                <w:rFonts w:ascii="Verdana" w:hAnsi="Verdana" w:cstheme="minorHAnsi"/>
                <w:sz w:val="24"/>
                <w:szCs w:val="24"/>
                <w:lang w:val="ru-RU"/>
              </w:rPr>
              <w:t xml:space="preserve">Анализ операций с ценными бумагами </w:t>
            </w:r>
            <w:r w:rsidR="00654F5E">
              <w:rPr>
                <w:rFonts w:ascii="Verdana" w:hAnsi="Verdana" w:cstheme="minorHAnsi"/>
                <w:sz w:val="24"/>
                <w:szCs w:val="24"/>
                <w:lang w:val="ru-RU"/>
              </w:rPr>
              <w:t>Группы компаний и</w:t>
            </w:r>
            <w:r w:rsidRPr="00F16969">
              <w:rPr>
                <w:rFonts w:ascii="Verdana" w:hAnsi="Verdana" w:cstheme="minorHAnsi"/>
                <w:sz w:val="24"/>
                <w:szCs w:val="24"/>
                <w:lang w:val="ru-RU"/>
              </w:rPr>
              <w:t xml:space="preserve"> участников рынка на основе данных из открытых источников и автоматизированных банковских систем (далее – «АБС»).</w:t>
            </w:r>
          </w:p>
          <w:p w14:paraId="0DFD2C33" w14:textId="1A6E1D8D" w:rsidR="00A73F49" w:rsidRPr="00F16969" w:rsidRDefault="00A73F49" w:rsidP="00A73F49">
            <w:pPr>
              <w:pStyle w:val="2"/>
              <w:jc w:val="both"/>
              <w:rPr>
                <w:rFonts w:ascii="Verdana" w:hAnsi="Verdana" w:cstheme="minorHAnsi"/>
                <w:sz w:val="24"/>
                <w:szCs w:val="24"/>
                <w:lang w:val="ru-RU"/>
              </w:rPr>
            </w:pPr>
            <w:r w:rsidRPr="00F16969">
              <w:rPr>
                <w:rFonts w:ascii="Verdana" w:hAnsi="Verdana" w:cstheme="minorHAnsi"/>
                <w:sz w:val="24"/>
                <w:szCs w:val="24"/>
                <w:lang w:val="ru-RU"/>
              </w:rPr>
              <w:t xml:space="preserve">Перекрестный анализ информации об операциях </w:t>
            </w:r>
            <w:r w:rsidR="00654F5E">
              <w:rPr>
                <w:rFonts w:ascii="Verdana" w:hAnsi="Verdana" w:cstheme="minorHAnsi"/>
                <w:sz w:val="24"/>
                <w:szCs w:val="24"/>
                <w:lang w:val="ru-RU"/>
              </w:rPr>
              <w:t>Группы компаний</w:t>
            </w:r>
            <w:r w:rsidRPr="00F16969">
              <w:rPr>
                <w:rFonts w:ascii="Verdana" w:hAnsi="Verdana" w:cstheme="minorHAnsi"/>
                <w:sz w:val="24"/>
                <w:szCs w:val="24"/>
                <w:lang w:val="ru-RU"/>
              </w:rPr>
              <w:t xml:space="preserve"> между доступной информацией из АБС, прочих ИТ и бухгалтерских систем Банка, </w:t>
            </w:r>
            <w:proofErr w:type="spellStart"/>
            <w:r w:rsidRPr="00F16969">
              <w:rPr>
                <w:rFonts w:ascii="Verdana" w:hAnsi="Verdana" w:cstheme="minorHAnsi"/>
                <w:sz w:val="24"/>
                <w:szCs w:val="24"/>
                <w:lang w:val="ru-RU"/>
              </w:rPr>
              <w:t>трейдерских</w:t>
            </w:r>
            <w:proofErr w:type="spellEnd"/>
            <w:r w:rsidRPr="00F16969">
              <w:rPr>
                <w:rFonts w:ascii="Verdana" w:hAnsi="Verdana" w:cstheme="minorHAnsi"/>
                <w:sz w:val="24"/>
                <w:szCs w:val="24"/>
                <w:lang w:val="ru-RU"/>
              </w:rPr>
              <w:t xml:space="preserve"> и брокерских компаний, кредитно-обеспечительной документации (далее</w:t>
            </w:r>
            <w:r w:rsidR="009D3167">
              <w:rPr>
                <w:rFonts w:ascii="Verdana" w:hAnsi="Verdana" w:cstheme="minorHAnsi"/>
                <w:sz w:val="24"/>
                <w:szCs w:val="24"/>
                <w:lang w:val="ru-RU"/>
              </w:rPr>
              <w:t xml:space="preserve"> </w:t>
            </w:r>
            <w:r w:rsidRPr="00F16969">
              <w:rPr>
                <w:rFonts w:ascii="Verdana" w:hAnsi="Verdana" w:cstheme="minorHAnsi"/>
                <w:sz w:val="24"/>
                <w:szCs w:val="24"/>
                <w:lang w:val="ru-RU"/>
              </w:rPr>
              <w:t>- «КОД»), протоколов и регламентов, с целью выявления сделок, нанесших ущерб Банку и установление их бенефициаров, подсчет такого ущерба.</w:t>
            </w:r>
          </w:p>
          <w:p w14:paraId="14BE023E" w14:textId="77777777" w:rsidR="00570B80" w:rsidRPr="00F16969" w:rsidRDefault="00A73F49" w:rsidP="00570B80">
            <w:pPr>
              <w:pStyle w:val="2"/>
              <w:jc w:val="both"/>
              <w:rPr>
                <w:rFonts w:ascii="Verdana" w:hAnsi="Verdana" w:cstheme="minorHAnsi"/>
                <w:sz w:val="24"/>
                <w:szCs w:val="24"/>
                <w:lang w:val="ru-RU"/>
              </w:rPr>
            </w:pPr>
            <w:r w:rsidRPr="00F16969">
              <w:rPr>
                <w:rFonts w:ascii="Verdana" w:hAnsi="Verdana" w:cstheme="minorHAnsi"/>
                <w:sz w:val="24"/>
                <w:szCs w:val="24"/>
                <w:lang w:val="ru-RU"/>
              </w:rPr>
              <w:t>Анализ данных SWIFT для выявления конечных получателях средств и иных деталей транзакций.</w:t>
            </w:r>
          </w:p>
          <w:p w14:paraId="3184E7DD" w14:textId="17A0F404" w:rsidR="00A73F49" w:rsidRPr="00F16969" w:rsidRDefault="00A73F49" w:rsidP="00570B80">
            <w:pPr>
              <w:pStyle w:val="2"/>
              <w:jc w:val="both"/>
              <w:rPr>
                <w:rFonts w:ascii="Verdana" w:hAnsi="Verdana" w:cstheme="minorHAnsi"/>
                <w:sz w:val="24"/>
                <w:szCs w:val="24"/>
                <w:lang w:val="ru-RU"/>
              </w:rPr>
            </w:pPr>
            <w:r w:rsidRPr="00F16969">
              <w:rPr>
                <w:rFonts w:ascii="Verdana" w:hAnsi="Verdana" w:cstheme="minorHAnsi"/>
                <w:sz w:val="24"/>
                <w:szCs w:val="24"/>
                <w:lang w:val="ru-RU"/>
              </w:rPr>
              <w:t>Анализ информации в части определения рыночной стоимости активов (включая отчеты оценщиков), приобретенных или утраченных в результате сделок.</w:t>
            </w:r>
          </w:p>
        </w:tc>
      </w:tr>
      <w:tr w:rsidR="00A73F49" w:rsidRPr="004E359E" w14:paraId="7D4A3B55" w14:textId="77777777" w:rsidTr="00F15C4F">
        <w:tc>
          <w:tcPr>
            <w:tcW w:w="3397" w:type="dxa"/>
          </w:tcPr>
          <w:p w14:paraId="220C8741" w14:textId="77777777" w:rsidR="00A73F49" w:rsidRPr="00F16969" w:rsidRDefault="00A73F49" w:rsidP="00A73F49">
            <w:pPr>
              <w:rPr>
                <w:sz w:val="24"/>
                <w:szCs w:val="24"/>
              </w:rPr>
            </w:pPr>
            <w:proofErr w:type="spellStart"/>
            <w:r w:rsidRPr="00F16969">
              <w:rPr>
                <w:rFonts w:cstheme="minorHAnsi"/>
                <w:color w:val="1F4D78" w:themeColor="accent1" w:themeShade="7F"/>
                <w:sz w:val="24"/>
                <w:szCs w:val="24"/>
              </w:rPr>
              <w:lastRenderedPageBreak/>
              <w:t>Подэтап</w:t>
            </w:r>
            <w:proofErr w:type="spellEnd"/>
            <w:r w:rsidRPr="00F16969">
              <w:rPr>
                <w:rFonts w:cstheme="minorHAnsi"/>
                <w:color w:val="1F4D78" w:themeColor="accent1" w:themeShade="7F"/>
                <w:sz w:val="24"/>
                <w:szCs w:val="24"/>
              </w:rPr>
              <w:t xml:space="preserve"> 1.3. </w:t>
            </w:r>
          </w:p>
        </w:tc>
        <w:tc>
          <w:tcPr>
            <w:tcW w:w="5948" w:type="dxa"/>
          </w:tcPr>
          <w:p w14:paraId="55AD8814" w14:textId="77777777" w:rsidR="00A73F49" w:rsidRPr="00F16969" w:rsidRDefault="00A73F49" w:rsidP="00FD215C">
            <w:pPr>
              <w:pStyle w:val="2"/>
              <w:numPr>
                <w:ilvl w:val="0"/>
                <w:numId w:val="0"/>
              </w:numPr>
              <w:jc w:val="both"/>
              <w:rPr>
                <w:rFonts w:ascii="Verdana" w:hAnsi="Verdana" w:cstheme="minorHAnsi"/>
                <w:sz w:val="24"/>
                <w:szCs w:val="24"/>
                <w:lang w:val="ru-RU"/>
              </w:rPr>
            </w:pPr>
            <w:r w:rsidRPr="00F16969">
              <w:rPr>
                <w:rFonts w:ascii="Verdana" w:hAnsi="Verdana" w:cstheme="minorHAnsi"/>
                <w:color w:val="1F4D78" w:themeColor="accent1" w:themeShade="7F"/>
                <w:sz w:val="24"/>
                <w:szCs w:val="24"/>
                <w:lang w:val="ru-RU"/>
              </w:rPr>
              <w:t>Анализ бенефициаров на предмет определения полного периметра подконтрольных им компаний</w:t>
            </w:r>
          </w:p>
        </w:tc>
      </w:tr>
      <w:tr w:rsidR="00A73F49" w:rsidRPr="004E359E" w14:paraId="72EAF537" w14:textId="77777777" w:rsidTr="00F15C4F">
        <w:tc>
          <w:tcPr>
            <w:tcW w:w="3397" w:type="dxa"/>
          </w:tcPr>
          <w:p w14:paraId="23D32471" w14:textId="77777777" w:rsidR="00A73F49" w:rsidRPr="00F16969" w:rsidRDefault="00A73F49">
            <w:pPr>
              <w:rPr>
                <w:sz w:val="24"/>
                <w:szCs w:val="24"/>
              </w:rPr>
            </w:pPr>
          </w:p>
        </w:tc>
        <w:tc>
          <w:tcPr>
            <w:tcW w:w="5948" w:type="dxa"/>
          </w:tcPr>
          <w:p w14:paraId="7629C090" w14:textId="2C14DEB3" w:rsidR="00A73F49" w:rsidRPr="00F16969" w:rsidRDefault="00A73F49" w:rsidP="00A73F49">
            <w:pPr>
              <w:pStyle w:val="2"/>
              <w:tabs>
                <w:tab w:val="clear" w:pos="623"/>
                <w:tab w:val="num" w:pos="680"/>
              </w:tabs>
              <w:ind w:left="680"/>
              <w:jc w:val="both"/>
              <w:rPr>
                <w:rFonts w:ascii="Verdana" w:hAnsi="Verdana" w:cstheme="minorHAnsi"/>
                <w:sz w:val="24"/>
                <w:szCs w:val="24"/>
                <w:lang w:val="ru-RU"/>
              </w:rPr>
            </w:pPr>
            <w:r w:rsidRPr="00F16969">
              <w:rPr>
                <w:rFonts w:ascii="Verdana" w:hAnsi="Verdana" w:cstheme="minorHAnsi"/>
                <w:sz w:val="24"/>
                <w:szCs w:val="24"/>
                <w:lang w:val="ru-RU"/>
              </w:rPr>
              <w:t>Анализ деловых интересов</w:t>
            </w:r>
            <w:r w:rsidR="00EF1711" w:rsidRPr="00F16969">
              <w:rPr>
                <w:rFonts w:ascii="Verdana" w:hAnsi="Verdana" w:cstheme="minorHAnsi"/>
                <w:sz w:val="24"/>
                <w:szCs w:val="24"/>
                <w:lang w:val="ru-RU"/>
              </w:rPr>
              <w:t xml:space="preserve"> бенефициаров</w:t>
            </w:r>
            <w:r w:rsidRPr="00F16969">
              <w:rPr>
                <w:rFonts w:ascii="Verdana" w:hAnsi="Verdana" w:cstheme="minorHAnsi"/>
                <w:sz w:val="24"/>
                <w:szCs w:val="24"/>
                <w:lang w:val="ru-RU"/>
              </w:rPr>
              <w:t xml:space="preserve"> в течение анализируемого периода (включая выявление существенных сделок</w:t>
            </w:r>
            <w:r w:rsidR="00EF1711" w:rsidRPr="00F16969">
              <w:rPr>
                <w:rFonts w:ascii="Verdana" w:hAnsi="Verdana" w:cstheme="minorHAnsi"/>
                <w:sz w:val="24"/>
                <w:szCs w:val="24"/>
                <w:lang w:val="ru-RU"/>
              </w:rPr>
              <w:t xml:space="preserve"> с </w:t>
            </w:r>
            <w:r w:rsidR="00654F5E">
              <w:rPr>
                <w:rFonts w:ascii="Verdana" w:hAnsi="Verdana" w:cstheme="minorHAnsi"/>
                <w:sz w:val="24"/>
                <w:szCs w:val="24"/>
                <w:lang w:val="ru-RU"/>
              </w:rPr>
              <w:t>Групп</w:t>
            </w:r>
            <w:r w:rsidR="009D3167">
              <w:rPr>
                <w:rFonts w:ascii="Verdana" w:hAnsi="Verdana" w:cstheme="minorHAnsi"/>
                <w:sz w:val="24"/>
                <w:szCs w:val="24"/>
                <w:lang w:val="ru-RU"/>
              </w:rPr>
              <w:t>ой</w:t>
            </w:r>
            <w:r w:rsidR="00654F5E">
              <w:rPr>
                <w:rFonts w:ascii="Verdana" w:hAnsi="Verdana" w:cstheme="minorHAnsi"/>
                <w:sz w:val="24"/>
                <w:szCs w:val="24"/>
                <w:lang w:val="ru-RU"/>
              </w:rPr>
              <w:t xml:space="preserve"> компаний</w:t>
            </w:r>
            <w:r w:rsidRPr="00F16969">
              <w:rPr>
                <w:rFonts w:ascii="Verdana" w:hAnsi="Verdana" w:cstheme="minorHAnsi"/>
                <w:sz w:val="24"/>
                <w:szCs w:val="24"/>
                <w:lang w:val="ru-RU"/>
              </w:rPr>
              <w:t>).</w:t>
            </w:r>
          </w:p>
          <w:p w14:paraId="79122220" w14:textId="33496FE6" w:rsidR="00A73F49" w:rsidRDefault="00A73F49" w:rsidP="00A73F49">
            <w:pPr>
              <w:pStyle w:val="2"/>
              <w:tabs>
                <w:tab w:val="clear" w:pos="623"/>
                <w:tab w:val="num" w:pos="680"/>
              </w:tabs>
              <w:ind w:left="680"/>
              <w:jc w:val="both"/>
              <w:rPr>
                <w:rFonts w:ascii="Verdana" w:hAnsi="Verdana" w:cstheme="minorHAnsi"/>
                <w:sz w:val="24"/>
                <w:szCs w:val="24"/>
                <w:lang w:val="ru-RU"/>
              </w:rPr>
            </w:pPr>
            <w:r w:rsidRPr="00F16969">
              <w:rPr>
                <w:rFonts w:ascii="Verdana" w:hAnsi="Verdana" w:cstheme="minorHAnsi"/>
                <w:sz w:val="24"/>
                <w:szCs w:val="24"/>
                <w:lang w:val="ru-RU"/>
              </w:rPr>
              <w:t xml:space="preserve">Анализ профиля физических лиц, участвовавших в сделках, на предмет связи с сотрудниками, руководством / </w:t>
            </w:r>
            <w:r w:rsidRPr="00F16969">
              <w:rPr>
                <w:rFonts w:ascii="Verdana" w:hAnsi="Verdana" w:cstheme="minorHAnsi"/>
                <w:sz w:val="24"/>
                <w:szCs w:val="24"/>
                <w:lang w:val="ru-RU"/>
              </w:rPr>
              <w:lastRenderedPageBreak/>
              <w:t xml:space="preserve">бенефициарами </w:t>
            </w:r>
            <w:r w:rsidR="00654F5E">
              <w:rPr>
                <w:rFonts w:ascii="Verdana" w:hAnsi="Verdana" w:cstheme="minorHAnsi"/>
                <w:sz w:val="24"/>
                <w:szCs w:val="24"/>
                <w:lang w:val="ru-RU"/>
              </w:rPr>
              <w:t xml:space="preserve">Группы компаний </w:t>
            </w:r>
            <w:r w:rsidRPr="00F16969">
              <w:rPr>
                <w:rFonts w:ascii="Verdana" w:hAnsi="Verdana" w:cstheme="minorHAnsi"/>
                <w:sz w:val="24"/>
                <w:szCs w:val="24"/>
                <w:lang w:val="ru-RU"/>
              </w:rPr>
              <w:t>и наличия в их взаимоотношениях признаков доверительного управления компаниями / владения активами.</w:t>
            </w:r>
          </w:p>
          <w:p w14:paraId="6580A34F" w14:textId="77777777" w:rsidR="00F16969" w:rsidRDefault="00F16969" w:rsidP="00F16969">
            <w:pPr>
              <w:pStyle w:val="2"/>
              <w:numPr>
                <w:ilvl w:val="0"/>
                <w:numId w:val="0"/>
              </w:numPr>
              <w:ind w:left="623" w:hanging="340"/>
              <w:jc w:val="both"/>
              <w:rPr>
                <w:rFonts w:ascii="Verdana" w:hAnsi="Verdana" w:cstheme="minorHAnsi"/>
                <w:sz w:val="24"/>
                <w:szCs w:val="24"/>
                <w:lang w:val="ru-RU"/>
              </w:rPr>
            </w:pPr>
          </w:p>
          <w:p w14:paraId="3ACD5963" w14:textId="47B42873" w:rsidR="00F16969" w:rsidRPr="00F16969" w:rsidRDefault="00F16969" w:rsidP="00F16969">
            <w:pPr>
              <w:pStyle w:val="2"/>
              <w:numPr>
                <w:ilvl w:val="0"/>
                <w:numId w:val="0"/>
              </w:numPr>
              <w:ind w:left="623" w:hanging="340"/>
              <w:jc w:val="both"/>
              <w:rPr>
                <w:rFonts w:ascii="Verdana" w:hAnsi="Verdana" w:cstheme="minorHAnsi"/>
                <w:sz w:val="24"/>
                <w:szCs w:val="24"/>
                <w:lang w:val="ru-RU"/>
              </w:rPr>
            </w:pPr>
          </w:p>
        </w:tc>
      </w:tr>
      <w:tr w:rsidR="00A73F49" w:rsidRPr="004E359E" w14:paraId="2053D931" w14:textId="77777777" w:rsidTr="00F15C4F">
        <w:tc>
          <w:tcPr>
            <w:tcW w:w="3397" w:type="dxa"/>
          </w:tcPr>
          <w:p w14:paraId="3ACE3F69" w14:textId="77777777" w:rsidR="00A73F49" w:rsidRPr="00F16969" w:rsidRDefault="00A73F49">
            <w:pPr>
              <w:rPr>
                <w:sz w:val="24"/>
                <w:szCs w:val="24"/>
              </w:rPr>
            </w:pPr>
            <w:r w:rsidRPr="00F16969">
              <w:rPr>
                <w:rFonts w:cstheme="minorHAnsi"/>
                <w:sz w:val="24"/>
                <w:szCs w:val="24"/>
              </w:rPr>
              <w:lastRenderedPageBreak/>
              <w:t>Этап 2</w:t>
            </w:r>
          </w:p>
        </w:tc>
        <w:tc>
          <w:tcPr>
            <w:tcW w:w="5948" w:type="dxa"/>
          </w:tcPr>
          <w:p w14:paraId="15635F83" w14:textId="77777777" w:rsidR="00A73F49" w:rsidRPr="00F16969" w:rsidRDefault="00A73F49" w:rsidP="00A73F49">
            <w:pPr>
              <w:pStyle w:val="2"/>
              <w:numPr>
                <w:ilvl w:val="0"/>
                <w:numId w:val="0"/>
              </w:numPr>
              <w:ind w:left="283"/>
              <w:jc w:val="both"/>
              <w:rPr>
                <w:rFonts w:ascii="Verdana" w:hAnsi="Verdana" w:cstheme="minorHAnsi"/>
                <w:sz w:val="24"/>
                <w:szCs w:val="24"/>
                <w:lang w:val="ru-RU"/>
              </w:rPr>
            </w:pPr>
          </w:p>
        </w:tc>
      </w:tr>
      <w:tr w:rsidR="00A73F49" w:rsidRPr="004E359E" w14:paraId="46C32A1D" w14:textId="77777777" w:rsidTr="00F15C4F">
        <w:tc>
          <w:tcPr>
            <w:tcW w:w="3397" w:type="dxa"/>
          </w:tcPr>
          <w:p w14:paraId="4BBFF3E8" w14:textId="77777777" w:rsidR="00A73F49" w:rsidRPr="00F16969" w:rsidRDefault="00A73F49" w:rsidP="00A73F49">
            <w:pPr>
              <w:pStyle w:val="20"/>
              <w:numPr>
                <w:ilvl w:val="0"/>
                <w:numId w:val="0"/>
              </w:numPr>
              <w:jc w:val="both"/>
              <w:outlineLvl w:val="1"/>
              <w:rPr>
                <w:rFonts w:ascii="Verdana" w:hAnsi="Verdana" w:cstheme="minorHAnsi"/>
                <w:color w:val="1F4D78" w:themeColor="accent1" w:themeShade="7F"/>
                <w:sz w:val="24"/>
                <w:szCs w:val="24"/>
                <w:lang w:val="ru-RU"/>
              </w:rPr>
            </w:pPr>
            <w:proofErr w:type="spellStart"/>
            <w:r w:rsidRPr="00F16969">
              <w:rPr>
                <w:rFonts w:ascii="Verdana" w:hAnsi="Verdana" w:cstheme="minorHAnsi"/>
                <w:color w:val="1F4D78" w:themeColor="accent1" w:themeShade="7F"/>
                <w:sz w:val="24"/>
                <w:szCs w:val="24"/>
                <w:lang w:val="ru-RU"/>
              </w:rPr>
              <w:t>Подэтап</w:t>
            </w:r>
            <w:proofErr w:type="spellEnd"/>
            <w:r w:rsidRPr="00F16969">
              <w:rPr>
                <w:rFonts w:ascii="Verdana" w:hAnsi="Verdana" w:cstheme="minorHAnsi"/>
                <w:color w:val="1F4D78" w:themeColor="accent1" w:themeShade="7F"/>
                <w:sz w:val="24"/>
                <w:szCs w:val="24"/>
                <w:lang w:val="ru-RU"/>
              </w:rPr>
              <w:t xml:space="preserve"> 2.1.</w:t>
            </w:r>
          </w:p>
          <w:p w14:paraId="1DFCF395" w14:textId="77777777" w:rsidR="00A73F49" w:rsidRPr="00F16969" w:rsidRDefault="00A73F49">
            <w:pPr>
              <w:rPr>
                <w:sz w:val="24"/>
                <w:szCs w:val="24"/>
              </w:rPr>
            </w:pPr>
          </w:p>
        </w:tc>
        <w:tc>
          <w:tcPr>
            <w:tcW w:w="5948" w:type="dxa"/>
          </w:tcPr>
          <w:p w14:paraId="0C196EFA" w14:textId="77777777" w:rsidR="00A73F49" w:rsidRPr="00F16969" w:rsidRDefault="00A73F49" w:rsidP="00FD215C">
            <w:pPr>
              <w:pStyle w:val="2"/>
              <w:numPr>
                <w:ilvl w:val="0"/>
                <w:numId w:val="0"/>
              </w:numPr>
              <w:ind w:left="34"/>
              <w:jc w:val="both"/>
              <w:rPr>
                <w:rFonts w:ascii="Verdana" w:hAnsi="Verdana" w:cstheme="minorHAnsi"/>
                <w:sz w:val="24"/>
                <w:szCs w:val="24"/>
                <w:lang w:val="ru-RU"/>
              </w:rPr>
            </w:pPr>
            <w:r w:rsidRPr="00F16969">
              <w:rPr>
                <w:rFonts w:ascii="Verdana" w:hAnsi="Verdana" w:cstheme="minorHAnsi"/>
                <w:color w:val="1F4D78" w:themeColor="accent1" w:themeShade="7F"/>
                <w:sz w:val="24"/>
                <w:szCs w:val="24"/>
                <w:lang w:val="ru-RU"/>
              </w:rPr>
              <w:t>Детальное исследование приоритетных кейсов и существенных эпизодов вывода средств</w:t>
            </w:r>
          </w:p>
        </w:tc>
      </w:tr>
      <w:tr w:rsidR="00A73F49" w:rsidRPr="004E359E" w14:paraId="1D3B14D9" w14:textId="77777777" w:rsidTr="00F15C4F">
        <w:tc>
          <w:tcPr>
            <w:tcW w:w="3397" w:type="dxa"/>
          </w:tcPr>
          <w:p w14:paraId="48336457" w14:textId="77777777" w:rsidR="00A73F49" w:rsidRPr="00F16969" w:rsidRDefault="00A73F49">
            <w:pPr>
              <w:rPr>
                <w:sz w:val="24"/>
                <w:szCs w:val="24"/>
              </w:rPr>
            </w:pPr>
          </w:p>
        </w:tc>
        <w:tc>
          <w:tcPr>
            <w:tcW w:w="5948" w:type="dxa"/>
          </w:tcPr>
          <w:p w14:paraId="769D3438" w14:textId="77777777" w:rsidR="00A73F49" w:rsidRPr="00F16969" w:rsidRDefault="00A73F49" w:rsidP="00A73F49">
            <w:pPr>
              <w:pStyle w:val="2"/>
              <w:tabs>
                <w:tab w:val="clear" w:pos="623"/>
                <w:tab w:val="num" w:pos="680"/>
              </w:tabs>
              <w:ind w:left="680"/>
              <w:jc w:val="both"/>
              <w:rPr>
                <w:rFonts w:ascii="Verdana" w:hAnsi="Verdana" w:cstheme="minorHAnsi"/>
                <w:sz w:val="24"/>
                <w:szCs w:val="24"/>
                <w:lang w:val="ru-RU"/>
              </w:rPr>
            </w:pPr>
            <w:r w:rsidRPr="00F16969">
              <w:rPr>
                <w:rFonts w:ascii="Verdana" w:hAnsi="Verdana" w:cstheme="minorHAnsi"/>
                <w:sz w:val="24"/>
                <w:szCs w:val="24"/>
                <w:lang w:val="ru-RU"/>
              </w:rPr>
              <w:t>Детальный анализ и описание цепочек операций с признаками вывода денежных средств, нарушений договорных условий (например, целевого использования кредита).</w:t>
            </w:r>
          </w:p>
          <w:p w14:paraId="07E947A7" w14:textId="77777777" w:rsidR="00A73F49" w:rsidRPr="00F16969" w:rsidRDefault="00A73F49" w:rsidP="00A73F49">
            <w:pPr>
              <w:pStyle w:val="2"/>
              <w:tabs>
                <w:tab w:val="clear" w:pos="623"/>
                <w:tab w:val="num" w:pos="680"/>
              </w:tabs>
              <w:ind w:left="680"/>
              <w:jc w:val="both"/>
              <w:rPr>
                <w:rFonts w:ascii="Verdana" w:hAnsi="Verdana" w:cstheme="minorHAnsi"/>
                <w:sz w:val="24"/>
                <w:szCs w:val="24"/>
                <w:lang w:val="ru-RU"/>
              </w:rPr>
            </w:pPr>
            <w:r w:rsidRPr="00F16969">
              <w:rPr>
                <w:rFonts w:ascii="Verdana" w:hAnsi="Verdana" w:cstheme="minorHAnsi"/>
                <w:sz w:val="24"/>
                <w:szCs w:val="24"/>
                <w:lang w:val="ru-RU"/>
              </w:rPr>
              <w:t>Составление перечня компаний-участников таких схем, ответственных сотрудников и лиц, принимавших решения по сделкам.</w:t>
            </w:r>
          </w:p>
          <w:p w14:paraId="1B6E7629" w14:textId="77777777" w:rsidR="00A73F49" w:rsidRPr="00F16969" w:rsidRDefault="00A73F49" w:rsidP="00A73F49">
            <w:pPr>
              <w:pStyle w:val="2"/>
              <w:tabs>
                <w:tab w:val="clear" w:pos="623"/>
                <w:tab w:val="num" w:pos="680"/>
              </w:tabs>
              <w:ind w:left="680"/>
              <w:jc w:val="both"/>
              <w:rPr>
                <w:rFonts w:ascii="Verdana" w:hAnsi="Verdana" w:cstheme="minorHAnsi"/>
                <w:sz w:val="24"/>
                <w:szCs w:val="24"/>
                <w:lang w:val="ru-RU"/>
              </w:rPr>
            </w:pPr>
            <w:r w:rsidRPr="00F16969">
              <w:rPr>
                <w:rFonts w:ascii="Verdana" w:hAnsi="Verdana" w:cstheme="minorHAnsi"/>
                <w:sz w:val="24"/>
                <w:szCs w:val="24"/>
                <w:lang w:val="ru-RU"/>
              </w:rPr>
              <w:t>Консультации с экспертами с целью получения детальной информации о цепочках движения средств в рамках выявленных компаний</w:t>
            </w:r>
            <w:r w:rsidR="00EF1711" w:rsidRPr="00F16969">
              <w:rPr>
                <w:rFonts w:ascii="Verdana" w:hAnsi="Verdana" w:cstheme="minorHAnsi"/>
                <w:sz w:val="24"/>
                <w:szCs w:val="24"/>
                <w:lang w:val="ru-RU"/>
              </w:rPr>
              <w:t>-выгодоприобретателей.</w:t>
            </w:r>
          </w:p>
          <w:p w14:paraId="77B7C7FA" w14:textId="0C8E7F3F" w:rsidR="00A73F49" w:rsidRPr="00F16969" w:rsidRDefault="00A73F49" w:rsidP="00A73F49">
            <w:pPr>
              <w:pStyle w:val="2"/>
              <w:tabs>
                <w:tab w:val="clear" w:pos="623"/>
                <w:tab w:val="num" w:pos="680"/>
              </w:tabs>
              <w:ind w:left="680"/>
              <w:jc w:val="both"/>
              <w:rPr>
                <w:rFonts w:ascii="Verdana" w:hAnsi="Verdana" w:cstheme="minorHAnsi"/>
                <w:sz w:val="24"/>
                <w:szCs w:val="24"/>
                <w:lang w:val="ru-RU"/>
              </w:rPr>
            </w:pPr>
            <w:r w:rsidRPr="00F16969">
              <w:rPr>
                <w:rFonts w:ascii="Verdana" w:hAnsi="Verdana" w:cstheme="minorHAnsi"/>
                <w:sz w:val="24"/>
                <w:szCs w:val="24"/>
                <w:lang w:val="ru-RU"/>
              </w:rPr>
              <w:t xml:space="preserve">Установление признаков связи между участниками выявленных сомнительных сделок и анализируемыми бывшими бенефициарами </w:t>
            </w:r>
            <w:r w:rsidR="00654F5E">
              <w:rPr>
                <w:rFonts w:ascii="Verdana" w:hAnsi="Verdana" w:cstheme="minorHAnsi"/>
                <w:sz w:val="24"/>
                <w:szCs w:val="24"/>
                <w:lang w:val="ru-RU"/>
              </w:rPr>
              <w:t>Группы компаний</w:t>
            </w:r>
            <w:r w:rsidRPr="00F16969">
              <w:rPr>
                <w:rFonts w:ascii="Verdana" w:hAnsi="Verdana" w:cstheme="minorHAnsi"/>
                <w:sz w:val="24"/>
                <w:szCs w:val="24"/>
                <w:lang w:val="ru-RU"/>
              </w:rPr>
              <w:t>.</w:t>
            </w:r>
          </w:p>
          <w:p w14:paraId="607FADCA" w14:textId="7FB03F9D" w:rsidR="00A73F49" w:rsidRPr="00F16969" w:rsidRDefault="00A73F49" w:rsidP="009D3167">
            <w:pPr>
              <w:pStyle w:val="2"/>
              <w:tabs>
                <w:tab w:val="clear" w:pos="623"/>
                <w:tab w:val="num" w:pos="680"/>
              </w:tabs>
              <w:ind w:left="680"/>
              <w:jc w:val="both"/>
              <w:rPr>
                <w:rFonts w:ascii="Verdana" w:hAnsi="Verdana" w:cstheme="minorHAnsi"/>
                <w:sz w:val="24"/>
                <w:szCs w:val="24"/>
                <w:lang w:val="ru-RU"/>
              </w:rPr>
            </w:pPr>
            <w:r w:rsidRPr="00F16969">
              <w:rPr>
                <w:rFonts w:ascii="Verdana" w:hAnsi="Verdana" w:cstheme="minorHAnsi"/>
                <w:sz w:val="24"/>
                <w:szCs w:val="24"/>
                <w:lang w:val="ru-RU"/>
              </w:rPr>
              <w:t xml:space="preserve">Консультации с экспертами с целью выявления дополнительной информации по запросам Банка: отношения участвующих в схемах лиц с банками на территории России и зарубежных юрисдикций, направлений движения денежных средств, выведенных из </w:t>
            </w:r>
            <w:r w:rsidR="00654F5E">
              <w:rPr>
                <w:rFonts w:ascii="Verdana" w:hAnsi="Verdana" w:cstheme="minorHAnsi"/>
                <w:sz w:val="24"/>
                <w:szCs w:val="24"/>
                <w:lang w:val="ru-RU"/>
              </w:rPr>
              <w:t>Группы компаний</w:t>
            </w:r>
            <w:r w:rsidRPr="00F16969">
              <w:rPr>
                <w:rFonts w:ascii="Verdana" w:hAnsi="Verdana" w:cstheme="minorHAnsi"/>
                <w:sz w:val="24"/>
                <w:szCs w:val="24"/>
                <w:lang w:val="ru-RU"/>
              </w:rPr>
              <w:t xml:space="preserve"> посредством выявленных схем, установление бенефициаров компаний-участников выявленных схем и т.д.</w:t>
            </w:r>
            <w:r w:rsidR="00F16969" w:rsidRPr="00F16969">
              <w:rPr>
                <w:rStyle w:val="a6"/>
                <w:rFonts w:ascii="Verdana" w:hAnsi="Verdana" w:cstheme="minorHAnsi"/>
                <w:sz w:val="24"/>
                <w:szCs w:val="24"/>
                <w:lang w:val="ru-RU"/>
              </w:rPr>
              <w:footnoteReference w:id="3"/>
            </w:r>
          </w:p>
        </w:tc>
      </w:tr>
      <w:tr w:rsidR="00A73F49" w:rsidRPr="004E359E" w14:paraId="16FC2310" w14:textId="77777777" w:rsidTr="00F16969">
        <w:trPr>
          <w:trHeight w:val="807"/>
        </w:trPr>
        <w:tc>
          <w:tcPr>
            <w:tcW w:w="3397" w:type="dxa"/>
          </w:tcPr>
          <w:p w14:paraId="7E9B82F9" w14:textId="77777777" w:rsidR="00A73F49" w:rsidRPr="00F16969" w:rsidRDefault="00A73F49" w:rsidP="00A73F49">
            <w:pPr>
              <w:pStyle w:val="20"/>
              <w:numPr>
                <w:ilvl w:val="0"/>
                <w:numId w:val="0"/>
              </w:numPr>
              <w:jc w:val="both"/>
              <w:outlineLvl w:val="1"/>
              <w:rPr>
                <w:rFonts w:ascii="Verdana" w:hAnsi="Verdana" w:cstheme="minorHAnsi"/>
                <w:color w:val="5B9BD5" w:themeColor="accent1"/>
                <w:sz w:val="24"/>
                <w:szCs w:val="24"/>
                <w:lang w:val="ru-RU"/>
              </w:rPr>
            </w:pPr>
            <w:proofErr w:type="spellStart"/>
            <w:r w:rsidRPr="00F16969">
              <w:rPr>
                <w:rFonts w:ascii="Verdana" w:hAnsi="Verdana" w:cstheme="minorHAnsi"/>
                <w:color w:val="5B9BD5" w:themeColor="accent1"/>
                <w:sz w:val="24"/>
                <w:szCs w:val="24"/>
                <w:lang w:val="ru-RU"/>
              </w:rPr>
              <w:t>Подэтап</w:t>
            </w:r>
            <w:proofErr w:type="spellEnd"/>
            <w:r w:rsidRPr="00F16969">
              <w:rPr>
                <w:rFonts w:ascii="Verdana" w:hAnsi="Verdana" w:cstheme="minorHAnsi"/>
                <w:color w:val="5B9BD5" w:themeColor="accent1"/>
                <w:sz w:val="24"/>
                <w:szCs w:val="24"/>
                <w:lang w:val="ru-RU"/>
              </w:rPr>
              <w:t xml:space="preserve"> 2.2. </w:t>
            </w:r>
          </w:p>
          <w:p w14:paraId="2EFC88DD" w14:textId="77777777" w:rsidR="00A73F49" w:rsidRPr="00F16969" w:rsidRDefault="00A73F49">
            <w:pPr>
              <w:rPr>
                <w:color w:val="5B9BD5" w:themeColor="accent1"/>
                <w:sz w:val="24"/>
                <w:szCs w:val="24"/>
              </w:rPr>
            </w:pPr>
          </w:p>
        </w:tc>
        <w:tc>
          <w:tcPr>
            <w:tcW w:w="5948" w:type="dxa"/>
          </w:tcPr>
          <w:p w14:paraId="75E5807E" w14:textId="0EE25480" w:rsidR="00F16969" w:rsidRDefault="00A73F49" w:rsidP="00FD215C">
            <w:pPr>
              <w:pStyle w:val="2"/>
              <w:numPr>
                <w:ilvl w:val="0"/>
                <w:numId w:val="0"/>
              </w:numPr>
              <w:jc w:val="both"/>
              <w:rPr>
                <w:rFonts w:ascii="Verdana" w:hAnsi="Verdana" w:cstheme="minorHAnsi"/>
                <w:color w:val="5B9BD5" w:themeColor="accent1"/>
                <w:sz w:val="24"/>
                <w:szCs w:val="24"/>
                <w:lang w:val="ru-RU"/>
              </w:rPr>
            </w:pPr>
            <w:r w:rsidRPr="00F16969">
              <w:rPr>
                <w:rFonts w:ascii="Verdana" w:hAnsi="Verdana" w:cstheme="minorHAnsi"/>
                <w:color w:val="5B9BD5" w:themeColor="accent1"/>
                <w:sz w:val="24"/>
                <w:szCs w:val="24"/>
                <w:lang w:val="ru-RU"/>
              </w:rPr>
              <w:t>Сбор, фиксация, систематизация и анализ доказательной базы</w:t>
            </w:r>
          </w:p>
          <w:p w14:paraId="291B4A3F" w14:textId="3E203D89" w:rsidR="00F16969" w:rsidRPr="00F16969" w:rsidRDefault="00F16969" w:rsidP="00F16969">
            <w:pPr>
              <w:pStyle w:val="2"/>
              <w:numPr>
                <w:ilvl w:val="0"/>
                <w:numId w:val="0"/>
              </w:numPr>
              <w:ind w:left="283"/>
              <w:jc w:val="both"/>
              <w:rPr>
                <w:rFonts w:ascii="Verdana" w:hAnsi="Verdana" w:cstheme="minorHAnsi"/>
                <w:color w:val="5B9BD5" w:themeColor="accent1"/>
                <w:sz w:val="24"/>
                <w:szCs w:val="24"/>
                <w:lang w:val="ru-RU"/>
              </w:rPr>
            </w:pPr>
          </w:p>
        </w:tc>
      </w:tr>
      <w:tr w:rsidR="00A73F49" w:rsidRPr="004E359E" w14:paraId="65D36BDC" w14:textId="77777777" w:rsidTr="00F15C4F">
        <w:tc>
          <w:tcPr>
            <w:tcW w:w="3397" w:type="dxa"/>
          </w:tcPr>
          <w:p w14:paraId="61D9DDEC" w14:textId="77777777" w:rsidR="00A73F49" w:rsidRPr="00F16969" w:rsidRDefault="00A73F49">
            <w:pPr>
              <w:rPr>
                <w:sz w:val="24"/>
                <w:szCs w:val="24"/>
              </w:rPr>
            </w:pPr>
          </w:p>
        </w:tc>
        <w:tc>
          <w:tcPr>
            <w:tcW w:w="5948" w:type="dxa"/>
          </w:tcPr>
          <w:p w14:paraId="7E23A104" w14:textId="77777777" w:rsidR="00A73F49" w:rsidRPr="00F16969" w:rsidRDefault="00A73F49" w:rsidP="00A73F49">
            <w:pPr>
              <w:pStyle w:val="2"/>
              <w:tabs>
                <w:tab w:val="clear" w:pos="623"/>
                <w:tab w:val="num" w:pos="680"/>
              </w:tabs>
              <w:ind w:left="680"/>
              <w:jc w:val="both"/>
              <w:rPr>
                <w:rFonts w:ascii="Verdana" w:hAnsi="Verdana" w:cstheme="minorHAnsi"/>
                <w:sz w:val="24"/>
                <w:szCs w:val="24"/>
                <w:lang w:val="ru-RU"/>
              </w:rPr>
            </w:pPr>
            <w:proofErr w:type="spellStart"/>
            <w:r w:rsidRPr="00F16969">
              <w:rPr>
                <w:rFonts w:ascii="Verdana" w:hAnsi="Verdana" w:cstheme="minorHAnsi"/>
                <w:sz w:val="24"/>
                <w:szCs w:val="24"/>
                <w:lang w:val="ru-RU"/>
              </w:rPr>
              <w:t>EDiscovery</w:t>
            </w:r>
            <w:proofErr w:type="spellEnd"/>
            <w:r w:rsidRPr="00F16969">
              <w:rPr>
                <w:rFonts w:ascii="Verdana" w:hAnsi="Verdana" w:cstheme="minorHAnsi"/>
                <w:sz w:val="24"/>
                <w:szCs w:val="24"/>
                <w:lang w:val="ru-RU"/>
              </w:rPr>
              <w:t xml:space="preserve">: анализ цифровой информации в отношение лиц, вовлеченных в сделки по приоритетным </w:t>
            </w:r>
            <w:r w:rsidRPr="00F16969">
              <w:rPr>
                <w:rFonts w:ascii="Verdana" w:hAnsi="Verdana" w:cstheme="minorHAnsi"/>
                <w:sz w:val="24"/>
                <w:szCs w:val="24"/>
                <w:lang w:val="ru-RU"/>
              </w:rPr>
              <w:lastRenderedPageBreak/>
              <w:t>кейсам. Подготовка и систематизация электронных доказательств</w:t>
            </w:r>
            <w:r w:rsidRPr="00F16969">
              <w:rPr>
                <w:rFonts w:ascii="Verdana" w:hAnsi="Verdana"/>
                <w:sz w:val="24"/>
                <w:szCs w:val="24"/>
                <w:vertAlign w:val="superscript"/>
              </w:rPr>
              <w:footnoteReference w:id="4"/>
            </w:r>
            <w:r w:rsidRPr="00F16969">
              <w:rPr>
                <w:rFonts w:ascii="Verdana" w:hAnsi="Verdana" w:cstheme="minorHAnsi"/>
                <w:sz w:val="24"/>
                <w:szCs w:val="24"/>
                <w:lang w:val="ru-RU"/>
              </w:rPr>
              <w:t xml:space="preserve">. </w:t>
            </w:r>
          </w:p>
          <w:p w14:paraId="37E50114" w14:textId="7E642ABF" w:rsidR="00A73F49" w:rsidRPr="00F16969" w:rsidRDefault="00A73F49" w:rsidP="00A73F49">
            <w:pPr>
              <w:pStyle w:val="2"/>
              <w:tabs>
                <w:tab w:val="clear" w:pos="623"/>
                <w:tab w:val="num" w:pos="680"/>
              </w:tabs>
              <w:ind w:left="680"/>
              <w:jc w:val="both"/>
              <w:rPr>
                <w:rFonts w:ascii="Verdana" w:hAnsi="Verdana" w:cstheme="minorHAnsi"/>
                <w:sz w:val="24"/>
                <w:szCs w:val="24"/>
                <w:lang w:val="ru-RU"/>
              </w:rPr>
            </w:pPr>
            <w:r w:rsidRPr="00F16969">
              <w:rPr>
                <w:rFonts w:ascii="Verdana" w:hAnsi="Verdana" w:cstheme="minorHAnsi"/>
                <w:sz w:val="24"/>
                <w:szCs w:val="24"/>
                <w:lang w:val="ru-RU"/>
              </w:rPr>
              <w:t xml:space="preserve">Анализ КОД, протоколов, регламентов и иных документов </w:t>
            </w:r>
            <w:r w:rsidR="00654F5E">
              <w:rPr>
                <w:rFonts w:ascii="Verdana" w:hAnsi="Verdana" w:cstheme="minorHAnsi"/>
                <w:sz w:val="24"/>
                <w:szCs w:val="24"/>
                <w:lang w:val="ru-RU"/>
              </w:rPr>
              <w:t>Группы компаний</w:t>
            </w:r>
            <w:r w:rsidRPr="00F16969">
              <w:rPr>
                <w:rFonts w:ascii="Verdana" w:hAnsi="Verdana" w:cstheme="minorHAnsi"/>
                <w:sz w:val="24"/>
                <w:szCs w:val="24"/>
                <w:lang w:val="ru-RU"/>
              </w:rPr>
              <w:t xml:space="preserve">, связанных с проведением и согласованием сделок в периметре исследования, а также документации </w:t>
            </w:r>
            <w:r w:rsidR="00654F5E" w:rsidRPr="00F16969">
              <w:rPr>
                <w:rFonts w:ascii="Verdana" w:hAnsi="Verdana" w:cstheme="minorHAnsi"/>
                <w:sz w:val="24"/>
                <w:szCs w:val="24"/>
                <w:lang w:val="ru-RU"/>
              </w:rPr>
              <w:t>в подконтрольн</w:t>
            </w:r>
            <w:r w:rsidR="009D3167">
              <w:rPr>
                <w:rFonts w:ascii="Verdana" w:hAnsi="Verdana" w:cstheme="minorHAnsi"/>
                <w:sz w:val="24"/>
                <w:szCs w:val="24"/>
                <w:lang w:val="ru-RU"/>
              </w:rPr>
              <w:t>ых</w:t>
            </w:r>
            <w:r w:rsidR="00654F5E" w:rsidRPr="00F16969">
              <w:rPr>
                <w:rFonts w:ascii="Verdana" w:hAnsi="Verdana" w:cstheme="minorHAnsi"/>
                <w:sz w:val="24"/>
                <w:szCs w:val="24"/>
                <w:lang w:val="ru-RU"/>
              </w:rPr>
              <w:t xml:space="preserve"> Группе</w:t>
            </w:r>
            <w:r w:rsidR="00654F5E">
              <w:rPr>
                <w:rFonts w:ascii="Verdana" w:hAnsi="Verdana" w:cstheme="minorHAnsi"/>
                <w:sz w:val="24"/>
                <w:szCs w:val="24"/>
                <w:lang w:val="ru-RU"/>
              </w:rPr>
              <w:t xml:space="preserve"> компаний </w:t>
            </w:r>
            <w:r w:rsidRPr="00F16969">
              <w:rPr>
                <w:rFonts w:ascii="Verdana" w:hAnsi="Verdana" w:cstheme="minorHAnsi"/>
                <w:sz w:val="24"/>
                <w:szCs w:val="24"/>
                <w:lang w:val="ru-RU"/>
              </w:rPr>
              <w:t>юридических лицах, участвовавших в сделках по выводу активов.</w:t>
            </w:r>
          </w:p>
          <w:p w14:paraId="67672206" w14:textId="443278F1" w:rsidR="00A73F49" w:rsidRPr="00F16969" w:rsidRDefault="00A73F49" w:rsidP="00A73F49">
            <w:pPr>
              <w:pStyle w:val="2"/>
              <w:tabs>
                <w:tab w:val="clear" w:pos="623"/>
                <w:tab w:val="num" w:pos="680"/>
              </w:tabs>
              <w:ind w:left="680"/>
              <w:jc w:val="both"/>
              <w:rPr>
                <w:rFonts w:ascii="Verdana" w:hAnsi="Verdana" w:cstheme="minorHAnsi"/>
                <w:sz w:val="24"/>
                <w:szCs w:val="24"/>
                <w:lang w:val="ru-RU"/>
              </w:rPr>
            </w:pPr>
            <w:r w:rsidRPr="00F16969">
              <w:rPr>
                <w:rFonts w:ascii="Verdana" w:hAnsi="Verdana" w:cstheme="minorHAnsi"/>
                <w:sz w:val="24"/>
                <w:szCs w:val="24"/>
                <w:lang w:val="ru-RU"/>
              </w:rPr>
              <w:t xml:space="preserve">Проведение интервью с сотрудниками </w:t>
            </w:r>
            <w:r w:rsidR="00654F5E">
              <w:rPr>
                <w:rFonts w:ascii="Verdana" w:hAnsi="Verdana" w:cstheme="minorHAnsi"/>
                <w:sz w:val="24"/>
                <w:szCs w:val="24"/>
                <w:lang w:val="ru-RU"/>
              </w:rPr>
              <w:t xml:space="preserve">Группы компаний </w:t>
            </w:r>
            <w:r w:rsidRPr="00F16969">
              <w:rPr>
                <w:rFonts w:ascii="Verdana" w:hAnsi="Verdana" w:cstheme="minorHAnsi"/>
                <w:sz w:val="24"/>
                <w:szCs w:val="24"/>
                <w:lang w:val="ru-RU"/>
              </w:rPr>
              <w:t>с целью получения уточняющей информации и сбору доказательств по выбранным сделкам.</w:t>
            </w:r>
          </w:p>
          <w:p w14:paraId="2C3E1C60" w14:textId="0A00F6AD" w:rsidR="00A73F49" w:rsidRPr="00F16969" w:rsidRDefault="00A73F49" w:rsidP="00A73835">
            <w:pPr>
              <w:pStyle w:val="2"/>
              <w:tabs>
                <w:tab w:val="clear" w:pos="623"/>
                <w:tab w:val="num" w:pos="680"/>
              </w:tabs>
              <w:ind w:left="680"/>
              <w:jc w:val="both"/>
              <w:rPr>
                <w:rFonts w:ascii="Verdana" w:hAnsi="Verdana" w:cstheme="minorHAnsi"/>
                <w:sz w:val="24"/>
                <w:szCs w:val="24"/>
                <w:lang w:val="ru-RU"/>
              </w:rPr>
            </w:pPr>
            <w:r w:rsidRPr="00F16969">
              <w:rPr>
                <w:rFonts w:ascii="Verdana" w:hAnsi="Verdana" w:cstheme="minorHAnsi"/>
                <w:sz w:val="24"/>
                <w:szCs w:val="24"/>
                <w:lang w:val="ru-RU"/>
              </w:rPr>
              <w:t xml:space="preserve">Сканирование документов на бумажных носителях с последующей загрузкой в систему </w:t>
            </w:r>
            <w:proofErr w:type="spellStart"/>
            <w:r w:rsidRPr="00F16969">
              <w:rPr>
                <w:rFonts w:ascii="Verdana" w:hAnsi="Verdana" w:cstheme="minorHAnsi"/>
                <w:sz w:val="24"/>
                <w:szCs w:val="24"/>
                <w:lang w:val="ru-RU"/>
              </w:rPr>
              <w:t>EDiscovery</w:t>
            </w:r>
            <w:proofErr w:type="spellEnd"/>
            <w:r w:rsidRPr="00F16969">
              <w:rPr>
                <w:rFonts w:ascii="Verdana" w:hAnsi="Verdana" w:cstheme="minorHAnsi"/>
                <w:sz w:val="24"/>
                <w:szCs w:val="24"/>
                <w:lang w:val="ru-RU"/>
              </w:rPr>
              <w:t>.</w:t>
            </w:r>
          </w:p>
        </w:tc>
      </w:tr>
      <w:tr w:rsidR="00A73F49" w:rsidRPr="004E359E" w14:paraId="08264333" w14:textId="77777777" w:rsidTr="00F15C4F">
        <w:tc>
          <w:tcPr>
            <w:tcW w:w="3397" w:type="dxa"/>
          </w:tcPr>
          <w:p w14:paraId="0B9056BA" w14:textId="77777777" w:rsidR="00A73F49" w:rsidRPr="00F16969" w:rsidRDefault="00A73F49" w:rsidP="00A73F49">
            <w:pPr>
              <w:autoSpaceDE w:val="0"/>
              <w:autoSpaceDN w:val="0"/>
              <w:adjustRightInd w:val="0"/>
              <w:rPr>
                <w:color w:val="000000"/>
                <w:sz w:val="24"/>
                <w:szCs w:val="24"/>
              </w:rPr>
            </w:pPr>
            <w:r w:rsidRPr="00F16969">
              <w:rPr>
                <w:b/>
                <w:bCs/>
                <w:color w:val="000000"/>
                <w:sz w:val="24"/>
                <w:szCs w:val="24"/>
              </w:rPr>
              <w:lastRenderedPageBreak/>
              <w:t xml:space="preserve">Сроки оказания Услуг: </w:t>
            </w:r>
          </w:p>
          <w:p w14:paraId="3B5BC369" w14:textId="77777777" w:rsidR="00A73F49" w:rsidRPr="00F16969" w:rsidRDefault="00A73F49">
            <w:pPr>
              <w:rPr>
                <w:rFonts w:cstheme="minorHAnsi"/>
                <w:sz w:val="24"/>
                <w:szCs w:val="24"/>
              </w:rPr>
            </w:pPr>
          </w:p>
        </w:tc>
        <w:tc>
          <w:tcPr>
            <w:tcW w:w="5948" w:type="dxa"/>
          </w:tcPr>
          <w:p w14:paraId="4A646291" w14:textId="77777777" w:rsidR="00A73F49" w:rsidRPr="00F16969" w:rsidRDefault="00A73F49" w:rsidP="00A73F49">
            <w:pPr>
              <w:pStyle w:val="2"/>
              <w:numPr>
                <w:ilvl w:val="0"/>
                <w:numId w:val="0"/>
              </w:numPr>
              <w:ind w:left="283"/>
              <w:jc w:val="both"/>
              <w:rPr>
                <w:rFonts w:ascii="Verdana" w:hAnsi="Verdana" w:cstheme="minorHAnsi"/>
                <w:sz w:val="24"/>
                <w:szCs w:val="24"/>
                <w:lang w:val="ru-RU"/>
              </w:rPr>
            </w:pPr>
          </w:p>
        </w:tc>
      </w:tr>
      <w:tr w:rsidR="00A73F49" w:rsidRPr="004E359E" w14:paraId="3C1F964F" w14:textId="77777777" w:rsidTr="00F15C4F">
        <w:tc>
          <w:tcPr>
            <w:tcW w:w="3397" w:type="dxa"/>
          </w:tcPr>
          <w:p w14:paraId="3EECABEE" w14:textId="77777777" w:rsidR="00A73F49" w:rsidRPr="00F16969" w:rsidRDefault="00A73F49">
            <w:pPr>
              <w:rPr>
                <w:rFonts w:cstheme="minorHAnsi"/>
                <w:sz w:val="24"/>
                <w:szCs w:val="24"/>
              </w:rPr>
            </w:pPr>
            <w:r w:rsidRPr="00F16969">
              <w:rPr>
                <w:rFonts w:cstheme="minorHAnsi"/>
                <w:sz w:val="24"/>
                <w:szCs w:val="24"/>
              </w:rPr>
              <w:t>Этап 1</w:t>
            </w:r>
          </w:p>
        </w:tc>
        <w:tc>
          <w:tcPr>
            <w:tcW w:w="5948" w:type="dxa"/>
          </w:tcPr>
          <w:p w14:paraId="188CB057" w14:textId="77777777" w:rsidR="00A73F49" w:rsidRPr="00F16969" w:rsidRDefault="00A73F49" w:rsidP="00FD215C">
            <w:pPr>
              <w:pStyle w:val="2"/>
              <w:numPr>
                <w:ilvl w:val="0"/>
                <w:numId w:val="0"/>
              </w:numPr>
              <w:ind w:left="34"/>
              <w:jc w:val="both"/>
              <w:rPr>
                <w:rFonts w:ascii="Verdana" w:hAnsi="Verdana" w:cstheme="minorHAnsi"/>
                <w:sz w:val="24"/>
                <w:szCs w:val="24"/>
                <w:lang w:val="ru-RU"/>
              </w:rPr>
            </w:pPr>
            <w:r w:rsidRPr="00F16969">
              <w:rPr>
                <w:rFonts w:ascii="Verdana" w:hAnsi="Verdana" w:cstheme="minorHAnsi"/>
                <w:sz w:val="24"/>
                <w:szCs w:val="24"/>
                <w:lang w:val="ru-RU"/>
              </w:rPr>
              <w:t xml:space="preserve">Начало – </w:t>
            </w:r>
          </w:p>
          <w:p w14:paraId="6855BC24" w14:textId="77777777" w:rsidR="00A73F49" w:rsidRPr="00F16969" w:rsidRDefault="00A73F49" w:rsidP="00FD215C">
            <w:pPr>
              <w:pStyle w:val="2"/>
              <w:numPr>
                <w:ilvl w:val="0"/>
                <w:numId w:val="0"/>
              </w:numPr>
              <w:ind w:left="34"/>
              <w:jc w:val="both"/>
              <w:rPr>
                <w:rFonts w:ascii="Verdana" w:hAnsi="Verdana" w:cstheme="minorHAnsi"/>
                <w:sz w:val="24"/>
                <w:szCs w:val="24"/>
                <w:lang w:val="ru-RU"/>
              </w:rPr>
            </w:pPr>
            <w:r w:rsidRPr="00F16969">
              <w:rPr>
                <w:rFonts w:ascii="Verdana" w:hAnsi="Verdana" w:cstheme="minorHAnsi"/>
                <w:sz w:val="24"/>
                <w:szCs w:val="24"/>
                <w:lang w:val="ru-RU"/>
              </w:rPr>
              <w:t>Окончание – не более 4 месяцев с даты начала оказания Услуг по 1 этапу</w:t>
            </w:r>
          </w:p>
        </w:tc>
      </w:tr>
      <w:tr w:rsidR="00A73F49" w:rsidRPr="004E359E" w14:paraId="315925A4" w14:textId="77777777" w:rsidTr="00F15C4F">
        <w:tc>
          <w:tcPr>
            <w:tcW w:w="3397" w:type="dxa"/>
          </w:tcPr>
          <w:p w14:paraId="22D61763" w14:textId="77777777" w:rsidR="00A73F49" w:rsidRPr="00F16969" w:rsidRDefault="00A73F49">
            <w:pPr>
              <w:rPr>
                <w:rFonts w:cstheme="minorHAnsi"/>
                <w:sz w:val="24"/>
                <w:szCs w:val="24"/>
              </w:rPr>
            </w:pPr>
            <w:r w:rsidRPr="00F16969">
              <w:rPr>
                <w:rFonts w:cstheme="minorHAnsi"/>
                <w:sz w:val="24"/>
                <w:szCs w:val="24"/>
              </w:rPr>
              <w:t>Этап 2</w:t>
            </w:r>
          </w:p>
        </w:tc>
        <w:tc>
          <w:tcPr>
            <w:tcW w:w="5948" w:type="dxa"/>
          </w:tcPr>
          <w:p w14:paraId="0A4BFDC5" w14:textId="77777777" w:rsidR="00A73F49" w:rsidRPr="00F16969" w:rsidRDefault="00A73F49" w:rsidP="00FD215C">
            <w:pPr>
              <w:pStyle w:val="2"/>
              <w:numPr>
                <w:ilvl w:val="0"/>
                <w:numId w:val="0"/>
              </w:numPr>
              <w:ind w:left="34"/>
              <w:jc w:val="both"/>
              <w:rPr>
                <w:rFonts w:ascii="Verdana" w:hAnsi="Verdana" w:cstheme="minorHAnsi"/>
                <w:sz w:val="24"/>
                <w:szCs w:val="24"/>
                <w:lang w:val="ru-RU"/>
              </w:rPr>
            </w:pPr>
            <w:r w:rsidRPr="00F16969">
              <w:rPr>
                <w:rFonts w:ascii="Verdana" w:hAnsi="Verdana" w:cstheme="minorHAnsi"/>
                <w:sz w:val="24"/>
                <w:szCs w:val="24"/>
                <w:lang w:val="ru-RU"/>
              </w:rPr>
              <w:t xml:space="preserve">Начало – </w:t>
            </w:r>
          </w:p>
          <w:p w14:paraId="20532903" w14:textId="77777777" w:rsidR="00A73F49" w:rsidRPr="00F16969" w:rsidRDefault="00A73F49" w:rsidP="00FD215C">
            <w:pPr>
              <w:pStyle w:val="2"/>
              <w:numPr>
                <w:ilvl w:val="0"/>
                <w:numId w:val="0"/>
              </w:numPr>
              <w:ind w:left="34"/>
              <w:jc w:val="both"/>
              <w:rPr>
                <w:rFonts w:ascii="Verdana" w:hAnsi="Verdana" w:cstheme="minorHAnsi"/>
                <w:sz w:val="24"/>
                <w:szCs w:val="24"/>
                <w:lang w:val="ru-RU"/>
              </w:rPr>
            </w:pPr>
            <w:r w:rsidRPr="00F16969">
              <w:rPr>
                <w:rFonts w:ascii="Verdana" w:hAnsi="Verdana" w:cstheme="minorHAnsi"/>
                <w:sz w:val="24"/>
                <w:szCs w:val="24"/>
                <w:lang w:val="ru-RU"/>
              </w:rPr>
              <w:t>Окончание – не более 6 месяцев с даты начала оказания услуг по 2 этапу</w:t>
            </w:r>
          </w:p>
        </w:tc>
      </w:tr>
      <w:tr w:rsidR="00A73F49" w:rsidRPr="004E359E" w14:paraId="4B7EC442" w14:textId="77777777" w:rsidTr="00F15C4F">
        <w:tc>
          <w:tcPr>
            <w:tcW w:w="3397" w:type="dxa"/>
          </w:tcPr>
          <w:p w14:paraId="09DB19B0" w14:textId="6AC87AD8" w:rsidR="00CC77C1" w:rsidRPr="00F16969" w:rsidRDefault="00CC77C1" w:rsidP="00CC77C1">
            <w:pPr>
              <w:autoSpaceDE w:val="0"/>
              <w:autoSpaceDN w:val="0"/>
              <w:adjustRightInd w:val="0"/>
              <w:rPr>
                <w:color w:val="000000"/>
                <w:sz w:val="24"/>
                <w:szCs w:val="24"/>
              </w:rPr>
            </w:pPr>
            <w:r w:rsidRPr="00F16969">
              <w:rPr>
                <w:b/>
                <w:bCs/>
                <w:color w:val="000000"/>
                <w:sz w:val="24"/>
                <w:szCs w:val="24"/>
              </w:rPr>
              <w:t>Место оказания Услуг</w:t>
            </w:r>
            <w:r w:rsidR="009B576C">
              <w:rPr>
                <w:b/>
                <w:bCs/>
                <w:color w:val="000000"/>
                <w:sz w:val="24"/>
                <w:szCs w:val="24"/>
              </w:rPr>
              <w:t>:</w:t>
            </w:r>
            <w:r w:rsidRPr="00F16969">
              <w:rPr>
                <w:b/>
                <w:bCs/>
                <w:color w:val="000000"/>
                <w:sz w:val="24"/>
                <w:szCs w:val="24"/>
              </w:rPr>
              <w:t xml:space="preserve"> </w:t>
            </w:r>
          </w:p>
          <w:p w14:paraId="35752F28" w14:textId="77777777" w:rsidR="00A73F49" w:rsidRPr="00F16969" w:rsidRDefault="00A73F49">
            <w:pPr>
              <w:rPr>
                <w:rFonts w:cstheme="minorHAnsi"/>
                <w:sz w:val="24"/>
                <w:szCs w:val="24"/>
              </w:rPr>
            </w:pPr>
          </w:p>
        </w:tc>
        <w:tc>
          <w:tcPr>
            <w:tcW w:w="5948" w:type="dxa"/>
          </w:tcPr>
          <w:p w14:paraId="6B9EF08A" w14:textId="77777777" w:rsidR="00A73F49" w:rsidRPr="00F16969" w:rsidRDefault="00C72B8C" w:rsidP="00FD215C">
            <w:pPr>
              <w:pStyle w:val="2"/>
              <w:numPr>
                <w:ilvl w:val="0"/>
                <w:numId w:val="0"/>
              </w:numPr>
              <w:jc w:val="both"/>
              <w:rPr>
                <w:rFonts w:ascii="Verdana" w:hAnsi="Verdana" w:cstheme="minorHAnsi"/>
                <w:sz w:val="24"/>
                <w:szCs w:val="24"/>
                <w:lang w:val="ru-RU"/>
              </w:rPr>
            </w:pPr>
            <w:r w:rsidRPr="00F16969">
              <w:rPr>
                <w:rFonts w:ascii="Verdana" w:hAnsi="Verdana" w:cstheme="minorHAnsi"/>
                <w:sz w:val="24"/>
                <w:szCs w:val="24"/>
                <w:lang w:val="ru-RU"/>
              </w:rPr>
              <w:t>Территория</w:t>
            </w:r>
            <w:r w:rsidR="00755BBB" w:rsidRPr="00F16969">
              <w:rPr>
                <w:rFonts w:ascii="Verdana" w:hAnsi="Verdana" w:cstheme="minorHAnsi"/>
                <w:sz w:val="24"/>
                <w:szCs w:val="24"/>
                <w:lang w:val="ru-RU"/>
              </w:rPr>
              <w:t xml:space="preserve"> Российской Федерации и </w:t>
            </w:r>
            <w:r w:rsidR="004B5EA5" w:rsidRPr="00F16969">
              <w:rPr>
                <w:rFonts w:ascii="Verdana" w:hAnsi="Verdana" w:cstheme="minorHAnsi"/>
                <w:sz w:val="24"/>
                <w:szCs w:val="24"/>
                <w:lang w:val="ru-RU"/>
              </w:rPr>
              <w:t>иностранных</w:t>
            </w:r>
            <w:r w:rsidR="00755BBB" w:rsidRPr="00F16969">
              <w:rPr>
                <w:rFonts w:ascii="Verdana" w:hAnsi="Verdana" w:cstheme="minorHAnsi"/>
                <w:sz w:val="24"/>
                <w:szCs w:val="24"/>
                <w:lang w:val="ru-RU"/>
              </w:rPr>
              <w:t xml:space="preserve"> юрисдикций</w:t>
            </w:r>
          </w:p>
        </w:tc>
      </w:tr>
      <w:tr w:rsidR="00A73F49" w:rsidRPr="004E359E" w14:paraId="70281C62" w14:textId="77777777" w:rsidTr="00F15C4F">
        <w:tc>
          <w:tcPr>
            <w:tcW w:w="3397" w:type="dxa"/>
          </w:tcPr>
          <w:p w14:paraId="593C07FE" w14:textId="5F20897B" w:rsidR="00C72B8C" w:rsidRPr="00F16969" w:rsidRDefault="009E71BC" w:rsidP="00C72B8C">
            <w:pPr>
              <w:autoSpaceDE w:val="0"/>
              <w:autoSpaceDN w:val="0"/>
              <w:adjustRightInd w:val="0"/>
              <w:rPr>
                <w:color w:val="000000"/>
                <w:sz w:val="24"/>
                <w:szCs w:val="24"/>
              </w:rPr>
            </w:pPr>
            <w:r>
              <w:rPr>
                <w:b/>
                <w:bCs/>
                <w:color w:val="000000"/>
                <w:sz w:val="24"/>
                <w:szCs w:val="24"/>
              </w:rPr>
              <w:t xml:space="preserve">Текущая </w:t>
            </w:r>
            <w:r w:rsidR="00C66C6C">
              <w:rPr>
                <w:b/>
                <w:bCs/>
                <w:color w:val="000000"/>
                <w:sz w:val="24"/>
                <w:szCs w:val="24"/>
              </w:rPr>
              <w:t xml:space="preserve">(промежуточная) </w:t>
            </w:r>
            <w:r>
              <w:rPr>
                <w:b/>
                <w:bCs/>
                <w:color w:val="000000"/>
                <w:sz w:val="24"/>
                <w:szCs w:val="24"/>
              </w:rPr>
              <w:t>о</w:t>
            </w:r>
            <w:r w:rsidR="00C72B8C" w:rsidRPr="00F16969">
              <w:rPr>
                <w:b/>
                <w:bCs/>
                <w:color w:val="000000"/>
                <w:sz w:val="24"/>
                <w:szCs w:val="24"/>
              </w:rPr>
              <w:t>тчетность</w:t>
            </w:r>
            <w:r w:rsidR="005B349C">
              <w:rPr>
                <w:b/>
                <w:bCs/>
                <w:color w:val="000000"/>
                <w:sz w:val="24"/>
                <w:szCs w:val="24"/>
              </w:rPr>
              <w:t xml:space="preserve"> И</w:t>
            </w:r>
            <w:r>
              <w:rPr>
                <w:b/>
                <w:bCs/>
                <w:color w:val="000000"/>
                <w:sz w:val="24"/>
                <w:szCs w:val="24"/>
              </w:rPr>
              <w:t>сполнителя</w:t>
            </w:r>
            <w:r w:rsidR="00C72B8C" w:rsidRPr="00F16969">
              <w:rPr>
                <w:b/>
                <w:bCs/>
                <w:color w:val="000000"/>
                <w:sz w:val="24"/>
                <w:szCs w:val="24"/>
              </w:rPr>
              <w:t xml:space="preserve">: </w:t>
            </w:r>
          </w:p>
          <w:p w14:paraId="6F0B8A51" w14:textId="77777777" w:rsidR="00A73F49" w:rsidRPr="00F16969" w:rsidRDefault="00A73F49">
            <w:pPr>
              <w:rPr>
                <w:rFonts w:cstheme="minorHAnsi"/>
                <w:sz w:val="24"/>
                <w:szCs w:val="24"/>
              </w:rPr>
            </w:pPr>
          </w:p>
        </w:tc>
        <w:tc>
          <w:tcPr>
            <w:tcW w:w="5948" w:type="dxa"/>
          </w:tcPr>
          <w:p w14:paraId="337A4820" w14:textId="77777777" w:rsidR="000E3C82" w:rsidRPr="000E3C82" w:rsidRDefault="000E3C82" w:rsidP="000E3C82">
            <w:pPr>
              <w:autoSpaceDE w:val="0"/>
              <w:autoSpaceDN w:val="0"/>
              <w:adjustRightInd w:val="0"/>
              <w:ind w:left="34"/>
              <w:jc w:val="both"/>
              <w:rPr>
                <w:color w:val="000000"/>
                <w:sz w:val="24"/>
                <w:szCs w:val="24"/>
              </w:rPr>
            </w:pPr>
            <w:r w:rsidRPr="000E3C82">
              <w:rPr>
                <w:color w:val="000000"/>
                <w:sz w:val="24"/>
                <w:szCs w:val="24"/>
              </w:rPr>
              <w:t xml:space="preserve">Исполнитель предоставляет Заказчику отчеты по результатам выполнения каждого </w:t>
            </w:r>
            <w:proofErr w:type="spellStart"/>
            <w:r w:rsidRPr="000E3C82">
              <w:rPr>
                <w:color w:val="000000"/>
                <w:sz w:val="24"/>
                <w:szCs w:val="24"/>
              </w:rPr>
              <w:t>подэтапа</w:t>
            </w:r>
            <w:proofErr w:type="spellEnd"/>
            <w:r w:rsidRPr="000E3C82">
              <w:rPr>
                <w:color w:val="000000"/>
                <w:sz w:val="24"/>
                <w:szCs w:val="24"/>
              </w:rPr>
              <w:t xml:space="preserve">, содержащие информацию о проделанной работе, в том числе: </w:t>
            </w:r>
          </w:p>
          <w:p w14:paraId="752DCBE3" w14:textId="77777777" w:rsidR="000E3C82" w:rsidRPr="000E3C82" w:rsidRDefault="000E3C82" w:rsidP="000E3C82">
            <w:pPr>
              <w:autoSpaceDE w:val="0"/>
              <w:autoSpaceDN w:val="0"/>
              <w:adjustRightInd w:val="0"/>
              <w:ind w:left="601" w:hanging="567"/>
              <w:jc w:val="both"/>
              <w:rPr>
                <w:color w:val="000000"/>
                <w:sz w:val="24"/>
                <w:szCs w:val="24"/>
              </w:rPr>
            </w:pPr>
            <w:r w:rsidRPr="000E3C82">
              <w:rPr>
                <w:color w:val="000000"/>
                <w:sz w:val="24"/>
                <w:szCs w:val="24"/>
              </w:rPr>
              <w:t xml:space="preserve">- </w:t>
            </w:r>
            <w:r w:rsidRPr="000E3C82">
              <w:rPr>
                <w:color w:val="000000"/>
                <w:sz w:val="24"/>
                <w:szCs w:val="24"/>
              </w:rPr>
              <w:tab/>
              <w:t>о состоянии системы хранения данных, местах хранения потенциально релевантной информации, результатах инвентаризация информации на электронных и бумажных носителях (отчет предоставляется на русском языке);</w:t>
            </w:r>
          </w:p>
          <w:p w14:paraId="78F3C29D" w14:textId="77777777" w:rsidR="000E3C82" w:rsidRPr="000E3C82" w:rsidRDefault="000E3C82" w:rsidP="000E3C82">
            <w:pPr>
              <w:autoSpaceDE w:val="0"/>
              <w:autoSpaceDN w:val="0"/>
              <w:adjustRightInd w:val="0"/>
              <w:ind w:left="601" w:hanging="567"/>
              <w:jc w:val="both"/>
              <w:rPr>
                <w:color w:val="000000"/>
                <w:sz w:val="24"/>
                <w:szCs w:val="24"/>
              </w:rPr>
            </w:pPr>
            <w:r w:rsidRPr="000E3C82">
              <w:rPr>
                <w:color w:val="000000"/>
                <w:sz w:val="24"/>
                <w:szCs w:val="24"/>
              </w:rPr>
              <w:t xml:space="preserve">- </w:t>
            </w:r>
            <w:r w:rsidRPr="000E3C82">
              <w:rPr>
                <w:color w:val="000000"/>
                <w:sz w:val="24"/>
                <w:szCs w:val="24"/>
              </w:rPr>
              <w:tab/>
              <w:t>об итогах обследования всех доступных рабочих станций, серверов, систем хранения данных, снятия криминалистических образов (отчет предоставляется на русском языке);</w:t>
            </w:r>
          </w:p>
          <w:p w14:paraId="3A7E0AAE" w14:textId="1B3A9753" w:rsidR="000E3C82" w:rsidRPr="000E3C82" w:rsidRDefault="000E3C82" w:rsidP="000E3C82">
            <w:pPr>
              <w:autoSpaceDE w:val="0"/>
              <w:autoSpaceDN w:val="0"/>
              <w:adjustRightInd w:val="0"/>
              <w:ind w:left="601" w:hanging="567"/>
              <w:jc w:val="both"/>
              <w:rPr>
                <w:color w:val="000000"/>
                <w:sz w:val="24"/>
                <w:szCs w:val="24"/>
              </w:rPr>
            </w:pPr>
            <w:r w:rsidRPr="000E3C82">
              <w:rPr>
                <w:color w:val="000000"/>
                <w:sz w:val="24"/>
                <w:szCs w:val="24"/>
              </w:rPr>
              <w:lastRenderedPageBreak/>
              <w:t>-</w:t>
            </w:r>
            <w:r w:rsidRPr="000E3C82">
              <w:rPr>
                <w:color w:val="000000"/>
                <w:sz w:val="24"/>
                <w:szCs w:val="24"/>
              </w:rPr>
              <w:tab/>
              <w:t xml:space="preserve">о результатах анализа структуры </w:t>
            </w:r>
            <w:r w:rsidR="00654F5E">
              <w:rPr>
                <w:color w:val="000000"/>
                <w:sz w:val="24"/>
                <w:szCs w:val="24"/>
              </w:rPr>
              <w:t>Группы компаний</w:t>
            </w:r>
            <w:r w:rsidRPr="000E3C82">
              <w:rPr>
                <w:color w:val="000000"/>
                <w:sz w:val="24"/>
                <w:szCs w:val="24"/>
              </w:rPr>
              <w:t xml:space="preserve">, </w:t>
            </w:r>
            <w:r w:rsidR="00654F5E">
              <w:rPr>
                <w:color w:val="000000"/>
                <w:sz w:val="24"/>
                <w:szCs w:val="24"/>
              </w:rPr>
              <w:t>их</w:t>
            </w:r>
            <w:r w:rsidRPr="000E3C82">
              <w:rPr>
                <w:color w:val="000000"/>
                <w:sz w:val="24"/>
                <w:szCs w:val="24"/>
              </w:rPr>
              <w:t xml:space="preserve"> операций и транзакций, требований Банка к </w:t>
            </w:r>
            <w:r w:rsidR="00654F5E">
              <w:rPr>
                <w:color w:val="000000"/>
                <w:sz w:val="24"/>
                <w:szCs w:val="24"/>
              </w:rPr>
              <w:t xml:space="preserve">Группе компаний </w:t>
            </w:r>
            <w:r w:rsidRPr="000E3C82">
              <w:rPr>
                <w:color w:val="000000"/>
                <w:sz w:val="24"/>
                <w:szCs w:val="24"/>
              </w:rPr>
              <w:t>у на предмет выявления сделок, нанесших ущерб Банку (отчет предоставляется на русском языке);</w:t>
            </w:r>
          </w:p>
          <w:p w14:paraId="106C829D" w14:textId="77777777" w:rsidR="000E3C82" w:rsidRPr="000E3C82" w:rsidRDefault="000E3C82" w:rsidP="000E3C82">
            <w:pPr>
              <w:autoSpaceDE w:val="0"/>
              <w:autoSpaceDN w:val="0"/>
              <w:adjustRightInd w:val="0"/>
              <w:ind w:left="601" w:hanging="567"/>
              <w:jc w:val="both"/>
              <w:rPr>
                <w:color w:val="000000"/>
                <w:sz w:val="24"/>
                <w:szCs w:val="24"/>
              </w:rPr>
            </w:pPr>
            <w:r w:rsidRPr="000E3C82">
              <w:rPr>
                <w:color w:val="000000"/>
                <w:sz w:val="24"/>
                <w:szCs w:val="24"/>
              </w:rPr>
              <w:t xml:space="preserve">- </w:t>
            </w:r>
            <w:r w:rsidRPr="000E3C82">
              <w:rPr>
                <w:color w:val="000000"/>
                <w:sz w:val="24"/>
                <w:szCs w:val="24"/>
              </w:rPr>
              <w:tab/>
              <w:t>об итогах детального исследования приоритетных кейсов и существенных эпизодов вывода средств (отчет предоставляется как на русском, так и на английском языках);</w:t>
            </w:r>
          </w:p>
          <w:p w14:paraId="0ADD8AF2" w14:textId="475E8C51" w:rsidR="00E60C69" w:rsidRPr="00B628B1" w:rsidRDefault="000E3C82" w:rsidP="00B628B1">
            <w:pPr>
              <w:tabs>
                <w:tab w:val="left" w:pos="601"/>
              </w:tabs>
              <w:autoSpaceDE w:val="0"/>
              <w:autoSpaceDN w:val="0"/>
              <w:adjustRightInd w:val="0"/>
              <w:ind w:left="601" w:hanging="567"/>
              <w:jc w:val="both"/>
              <w:rPr>
                <w:color w:val="000000"/>
                <w:sz w:val="24"/>
                <w:szCs w:val="24"/>
              </w:rPr>
            </w:pPr>
            <w:r w:rsidRPr="000E3C82">
              <w:rPr>
                <w:color w:val="000000"/>
                <w:sz w:val="24"/>
                <w:szCs w:val="24"/>
              </w:rPr>
              <w:t>-</w:t>
            </w:r>
            <w:r w:rsidRPr="000E3C82">
              <w:rPr>
                <w:color w:val="000000"/>
                <w:sz w:val="24"/>
                <w:szCs w:val="24"/>
              </w:rPr>
              <w:tab/>
              <w:t xml:space="preserve">о результатах мероприятий по </w:t>
            </w:r>
            <w:proofErr w:type="spellStart"/>
            <w:r w:rsidRPr="000E3C82">
              <w:rPr>
                <w:color w:val="000000"/>
                <w:sz w:val="24"/>
                <w:szCs w:val="24"/>
              </w:rPr>
              <w:t>EDiscovery</w:t>
            </w:r>
            <w:proofErr w:type="spellEnd"/>
            <w:r w:rsidRPr="000E3C82">
              <w:rPr>
                <w:color w:val="000000"/>
                <w:sz w:val="24"/>
                <w:szCs w:val="24"/>
              </w:rPr>
              <w:t xml:space="preserve"> (отчет предоставляется как на русском, так и на английском языках).</w:t>
            </w:r>
          </w:p>
        </w:tc>
      </w:tr>
      <w:tr w:rsidR="009E71BC" w:rsidRPr="004E359E" w14:paraId="7F30157A" w14:textId="77777777" w:rsidTr="00F15C4F">
        <w:tc>
          <w:tcPr>
            <w:tcW w:w="3397" w:type="dxa"/>
          </w:tcPr>
          <w:p w14:paraId="348C2830" w14:textId="217927C7" w:rsidR="009E71BC" w:rsidRPr="00F16969" w:rsidRDefault="009E71BC" w:rsidP="005B349C">
            <w:pPr>
              <w:autoSpaceDE w:val="0"/>
              <w:autoSpaceDN w:val="0"/>
              <w:adjustRightInd w:val="0"/>
              <w:rPr>
                <w:b/>
                <w:bCs/>
                <w:color w:val="000000"/>
                <w:sz w:val="24"/>
                <w:szCs w:val="24"/>
              </w:rPr>
            </w:pPr>
            <w:r>
              <w:rPr>
                <w:b/>
                <w:bCs/>
                <w:color w:val="000000"/>
                <w:sz w:val="24"/>
                <w:szCs w:val="24"/>
              </w:rPr>
              <w:lastRenderedPageBreak/>
              <w:t>Отчет</w:t>
            </w:r>
            <w:r w:rsidR="005B349C">
              <w:rPr>
                <w:b/>
                <w:bCs/>
                <w:color w:val="000000"/>
                <w:sz w:val="24"/>
                <w:szCs w:val="24"/>
              </w:rPr>
              <w:t xml:space="preserve"> Исполнителя по результатам оказания </w:t>
            </w:r>
            <w:r w:rsidR="00B07E6B">
              <w:rPr>
                <w:b/>
                <w:bCs/>
                <w:color w:val="000000"/>
                <w:sz w:val="24"/>
                <w:szCs w:val="24"/>
              </w:rPr>
              <w:t xml:space="preserve">Услуг: </w:t>
            </w:r>
          </w:p>
        </w:tc>
        <w:tc>
          <w:tcPr>
            <w:tcW w:w="5948" w:type="dxa"/>
          </w:tcPr>
          <w:p w14:paraId="7FEE9752" w14:textId="220EB586" w:rsidR="009E71BC" w:rsidRPr="00F16969" w:rsidRDefault="009E71BC" w:rsidP="00654F5E">
            <w:pPr>
              <w:pStyle w:val="2"/>
              <w:numPr>
                <w:ilvl w:val="0"/>
                <w:numId w:val="0"/>
              </w:numPr>
              <w:ind w:left="283"/>
              <w:jc w:val="both"/>
              <w:rPr>
                <w:rFonts w:ascii="Verdana" w:hAnsi="Verdana"/>
                <w:sz w:val="24"/>
                <w:szCs w:val="24"/>
                <w:lang w:val="ru-RU"/>
              </w:rPr>
            </w:pPr>
            <w:r>
              <w:rPr>
                <w:rFonts w:ascii="Verdana" w:hAnsi="Verdana"/>
                <w:sz w:val="24"/>
                <w:szCs w:val="24"/>
                <w:lang w:val="ru-RU"/>
              </w:rPr>
              <w:t>Исполнитель передает Заказчику рез</w:t>
            </w:r>
            <w:r w:rsidR="00C96F9D">
              <w:rPr>
                <w:rFonts w:ascii="Verdana" w:hAnsi="Verdana"/>
                <w:sz w:val="24"/>
                <w:szCs w:val="24"/>
                <w:lang w:val="ru-RU"/>
              </w:rPr>
              <w:t>ультат оказания У</w:t>
            </w:r>
            <w:r>
              <w:rPr>
                <w:rFonts w:ascii="Verdana" w:hAnsi="Verdana"/>
                <w:sz w:val="24"/>
                <w:szCs w:val="24"/>
                <w:lang w:val="ru-RU"/>
              </w:rPr>
              <w:t>слуг</w:t>
            </w:r>
            <w:r w:rsidR="00C96F9D">
              <w:rPr>
                <w:rFonts w:ascii="Verdana" w:hAnsi="Verdana"/>
                <w:sz w:val="24"/>
                <w:szCs w:val="24"/>
                <w:lang w:val="ru-RU"/>
              </w:rPr>
              <w:t>, предусмотренных Техническим заданием,</w:t>
            </w:r>
            <w:r>
              <w:rPr>
                <w:rFonts w:ascii="Verdana" w:hAnsi="Verdana"/>
                <w:sz w:val="24"/>
                <w:szCs w:val="24"/>
                <w:lang w:val="ru-RU"/>
              </w:rPr>
              <w:t xml:space="preserve"> в форме отчета, содержащего информацию об операциях </w:t>
            </w:r>
            <w:r w:rsidR="00654F5E">
              <w:rPr>
                <w:rFonts w:ascii="Verdana" w:hAnsi="Verdana"/>
                <w:sz w:val="24"/>
                <w:szCs w:val="24"/>
                <w:lang w:val="ru-RU"/>
              </w:rPr>
              <w:t>Группы компаний</w:t>
            </w:r>
            <w:r>
              <w:rPr>
                <w:rFonts w:ascii="Verdana" w:hAnsi="Verdana"/>
                <w:sz w:val="24"/>
                <w:szCs w:val="24"/>
                <w:lang w:val="ru-RU"/>
              </w:rPr>
              <w:t xml:space="preserve">, нанесших ущерб Банку, бенефициарах указанных операций, а также материалы для предъявления исков в суды РФ и иностранных юрисдикций. </w:t>
            </w:r>
            <w:r w:rsidR="00C96F9D">
              <w:rPr>
                <w:rFonts w:ascii="Verdana" w:hAnsi="Verdana"/>
                <w:sz w:val="24"/>
                <w:szCs w:val="24"/>
                <w:lang w:val="ru-RU"/>
              </w:rPr>
              <w:t xml:space="preserve">К отчету должны прилагаться криминалистические образы носителей информации с документами, подтверждающими процесс извлечения данных, и электронные носители цифровой информации, полученной по результатам </w:t>
            </w:r>
            <w:proofErr w:type="spellStart"/>
            <w:r w:rsidR="00C96F9D" w:rsidRPr="00F16969">
              <w:rPr>
                <w:rFonts w:ascii="Verdana" w:hAnsi="Verdana" w:cstheme="minorHAnsi"/>
                <w:sz w:val="24"/>
                <w:szCs w:val="24"/>
                <w:lang w:val="ru-RU"/>
              </w:rPr>
              <w:t>EDiscovery</w:t>
            </w:r>
            <w:proofErr w:type="spellEnd"/>
            <w:r w:rsidR="00C96F9D">
              <w:rPr>
                <w:rFonts w:ascii="Verdana" w:hAnsi="Verdana" w:cstheme="minorHAnsi"/>
                <w:sz w:val="24"/>
                <w:szCs w:val="24"/>
                <w:lang w:val="ru-RU"/>
              </w:rPr>
              <w:t>.</w:t>
            </w:r>
            <w:r>
              <w:rPr>
                <w:rFonts w:ascii="Verdana" w:hAnsi="Verdana"/>
                <w:sz w:val="24"/>
                <w:szCs w:val="24"/>
                <w:lang w:val="ru-RU"/>
              </w:rPr>
              <w:t xml:space="preserve"> </w:t>
            </w:r>
          </w:p>
        </w:tc>
      </w:tr>
      <w:tr w:rsidR="00A73F49" w:rsidRPr="004E359E" w14:paraId="21ABFB53" w14:textId="77777777" w:rsidTr="00F15C4F">
        <w:tc>
          <w:tcPr>
            <w:tcW w:w="3397" w:type="dxa"/>
          </w:tcPr>
          <w:p w14:paraId="4DD5DDD4" w14:textId="1D797B2A" w:rsidR="00C72B8C" w:rsidRPr="00F16969" w:rsidRDefault="00C72B8C" w:rsidP="00C72B8C">
            <w:pPr>
              <w:autoSpaceDE w:val="0"/>
              <w:autoSpaceDN w:val="0"/>
              <w:adjustRightInd w:val="0"/>
              <w:rPr>
                <w:color w:val="000000"/>
                <w:sz w:val="24"/>
                <w:szCs w:val="24"/>
              </w:rPr>
            </w:pPr>
            <w:r w:rsidRPr="00F16969">
              <w:rPr>
                <w:b/>
                <w:bCs/>
                <w:color w:val="000000"/>
                <w:sz w:val="24"/>
                <w:szCs w:val="24"/>
              </w:rPr>
              <w:t xml:space="preserve">Требования к качеству Услуг </w:t>
            </w:r>
          </w:p>
          <w:p w14:paraId="20ABDC2B" w14:textId="77777777" w:rsidR="00A73F49" w:rsidRPr="00F16969" w:rsidRDefault="00A73F49">
            <w:pPr>
              <w:rPr>
                <w:rFonts w:cstheme="minorHAnsi"/>
                <w:sz w:val="24"/>
                <w:szCs w:val="24"/>
              </w:rPr>
            </w:pPr>
          </w:p>
        </w:tc>
        <w:tc>
          <w:tcPr>
            <w:tcW w:w="5948" w:type="dxa"/>
          </w:tcPr>
          <w:p w14:paraId="7776BFE0" w14:textId="4A120E8F" w:rsidR="00F16969" w:rsidRPr="00F16969" w:rsidRDefault="00C72B8C" w:rsidP="00F16969">
            <w:pPr>
              <w:pStyle w:val="2"/>
              <w:numPr>
                <w:ilvl w:val="0"/>
                <w:numId w:val="0"/>
              </w:numPr>
              <w:ind w:left="283"/>
              <w:jc w:val="both"/>
              <w:rPr>
                <w:rFonts w:ascii="Verdana" w:hAnsi="Verdana" w:cstheme="minorHAnsi"/>
                <w:sz w:val="24"/>
                <w:szCs w:val="24"/>
                <w:lang w:val="ru-RU"/>
              </w:rPr>
            </w:pPr>
            <w:r w:rsidRPr="00F16969">
              <w:rPr>
                <w:rFonts w:ascii="Verdana" w:hAnsi="Verdana"/>
                <w:sz w:val="24"/>
                <w:szCs w:val="24"/>
                <w:lang w:val="ru-RU"/>
              </w:rPr>
              <w:t>Исполнитель обязан оказывать услуги качественно и максимально оперативно, а также обеспечить конфиденциальность сведений, касающихся оказания</w:t>
            </w:r>
            <w:r w:rsidR="005B29E1" w:rsidRPr="00F16969">
              <w:rPr>
                <w:rFonts w:ascii="Verdana" w:hAnsi="Verdana"/>
                <w:sz w:val="24"/>
                <w:szCs w:val="24"/>
                <w:lang w:val="ru-RU"/>
              </w:rPr>
              <w:t xml:space="preserve"> Услуг и полученных результатов.</w:t>
            </w:r>
          </w:p>
        </w:tc>
      </w:tr>
      <w:tr w:rsidR="00A73F49" w:rsidRPr="004E359E" w14:paraId="72B33EA1" w14:textId="77777777" w:rsidTr="00F15C4F">
        <w:tc>
          <w:tcPr>
            <w:tcW w:w="3397" w:type="dxa"/>
          </w:tcPr>
          <w:p w14:paraId="5DD557DF" w14:textId="77777777" w:rsidR="00A73F49" w:rsidRPr="00F16969" w:rsidRDefault="00C72B8C" w:rsidP="00332734">
            <w:pPr>
              <w:rPr>
                <w:rFonts w:cstheme="minorHAnsi"/>
                <w:sz w:val="24"/>
                <w:szCs w:val="24"/>
              </w:rPr>
            </w:pPr>
            <w:r w:rsidRPr="00F16969">
              <w:rPr>
                <w:b/>
                <w:bCs/>
                <w:sz w:val="24"/>
                <w:szCs w:val="24"/>
              </w:rPr>
              <w:t>Представление информации</w:t>
            </w:r>
          </w:p>
        </w:tc>
        <w:tc>
          <w:tcPr>
            <w:tcW w:w="5948" w:type="dxa"/>
          </w:tcPr>
          <w:p w14:paraId="5C98F31B" w14:textId="77777777" w:rsidR="00A73F49" w:rsidRPr="00F16969" w:rsidRDefault="00C72B8C" w:rsidP="00CE710A">
            <w:pPr>
              <w:pStyle w:val="2"/>
              <w:numPr>
                <w:ilvl w:val="0"/>
                <w:numId w:val="0"/>
              </w:numPr>
              <w:ind w:left="283"/>
              <w:jc w:val="both"/>
              <w:rPr>
                <w:rFonts w:ascii="Verdana" w:hAnsi="Verdana" w:cstheme="minorHAnsi"/>
                <w:sz w:val="24"/>
                <w:szCs w:val="24"/>
                <w:lang w:val="ru-RU"/>
              </w:rPr>
            </w:pPr>
            <w:r w:rsidRPr="00F16969">
              <w:rPr>
                <w:rFonts w:ascii="Verdana" w:hAnsi="Verdana"/>
                <w:sz w:val="24"/>
                <w:szCs w:val="24"/>
                <w:lang w:val="ru-RU"/>
              </w:rPr>
              <w:t xml:space="preserve">Вся информация </w:t>
            </w:r>
            <w:r w:rsidR="004B5EA5" w:rsidRPr="00F16969">
              <w:rPr>
                <w:rFonts w:ascii="Verdana" w:hAnsi="Verdana"/>
                <w:sz w:val="24"/>
                <w:szCs w:val="24"/>
                <w:lang w:val="ru-RU"/>
              </w:rPr>
              <w:t>в отношение</w:t>
            </w:r>
            <w:r w:rsidRPr="00F16969">
              <w:rPr>
                <w:rFonts w:ascii="Verdana" w:hAnsi="Verdana"/>
                <w:sz w:val="24"/>
                <w:szCs w:val="24"/>
                <w:lang w:val="ru-RU"/>
              </w:rPr>
              <w:t xml:space="preserve"> должника, размера его задолженности</w:t>
            </w:r>
            <w:r w:rsidR="004B5EA5" w:rsidRPr="00F16969">
              <w:rPr>
                <w:rFonts w:ascii="Verdana" w:hAnsi="Verdana"/>
                <w:sz w:val="24"/>
                <w:szCs w:val="24"/>
                <w:lang w:val="ru-RU"/>
              </w:rPr>
              <w:t xml:space="preserve">, истории ее формирования, ее структуре, документации, электронных данных и имеющихся в отношение должника </w:t>
            </w:r>
            <w:r w:rsidRPr="00F16969">
              <w:rPr>
                <w:rFonts w:ascii="Verdana" w:hAnsi="Verdana"/>
                <w:sz w:val="24"/>
                <w:szCs w:val="24"/>
                <w:lang w:val="ru-RU"/>
              </w:rPr>
              <w:t xml:space="preserve">решений судебных органов о взыскании задолженности в пользу Заказчика будут предоставлены Исполнителю в течение </w:t>
            </w:r>
            <w:r w:rsidR="00CE710A" w:rsidRPr="00F16969">
              <w:rPr>
                <w:rFonts w:ascii="Verdana" w:hAnsi="Verdana"/>
                <w:sz w:val="24"/>
                <w:szCs w:val="24"/>
                <w:lang w:val="ru-RU"/>
              </w:rPr>
              <w:t>10</w:t>
            </w:r>
            <w:r w:rsidRPr="00F16969">
              <w:rPr>
                <w:rFonts w:ascii="Verdana" w:hAnsi="Verdana"/>
                <w:sz w:val="24"/>
                <w:szCs w:val="24"/>
                <w:lang w:val="ru-RU"/>
              </w:rPr>
              <w:t xml:space="preserve"> рабочих дней с даты заключения Договора.</w:t>
            </w:r>
          </w:p>
        </w:tc>
      </w:tr>
    </w:tbl>
    <w:p w14:paraId="61768EF0" w14:textId="77777777" w:rsidR="00A73F49" w:rsidRPr="004E359E" w:rsidRDefault="00A73F49">
      <w:pPr>
        <w:rPr>
          <w:szCs w:val="20"/>
        </w:rPr>
      </w:pPr>
    </w:p>
    <w:sectPr w:rsidR="00A73F49" w:rsidRPr="004E359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DC2B7" w14:textId="77777777" w:rsidR="00DC4F87" w:rsidRDefault="00DC4F87" w:rsidP="00A73F49">
      <w:pPr>
        <w:spacing w:after="0" w:line="240" w:lineRule="auto"/>
      </w:pPr>
      <w:r>
        <w:separator/>
      </w:r>
    </w:p>
  </w:endnote>
  <w:endnote w:type="continuationSeparator" w:id="0">
    <w:p w14:paraId="33C8E0B1" w14:textId="77777777" w:rsidR="00DC4F87" w:rsidRDefault="00DC4F87" w:rsidP="00A73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9999999">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61992" w14:textId="77777777" w:rsidR="00530C86" w:rsidRDefault="00530C86">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F1BB5" w14:textId="77777777" w:rsidR="00530C86" w:rsidRDefault="00530C86">
    <w:pPr>
      <w:pStyle w:val="a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B64F2" w14:textId="77777777" w:rsidR="00530C86" w:rsidRDefault="00530C86">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702EE" w14:textId="77777777" w:rsidR="00DC4F87" w:rsidRDefault="00DC4F87" w:rsidP="00A73F49">
      <w:pPr>
        <w:spacing w:after="0" w:line="240" w:lineRule="auto"/>
      </w:pPr>
      <w:r>
        <w:separator/>
      </w:r>
    </w:p>
  </w:footnote>
  <w:footnote w:type="continuationSeparator" w:id="0">
    <w:p w14:paraId="6498AFD0" w14:textId="77777777" w:rsidR="00DC4F87" w:rsidRDefault="00DC4F87" w:rsidP="00A73F49">
      <w:pPr>
        <w:spacing w:after="0" w:line="240" w:lineRule="auto"/>
      </w:pPr>
      <w:r>
        <w:continuationSeparator/>
      </w:r>
    </w:p>
  </w:footnote>
  <w:footnote w:id="1">
    <w:p w14:paraId="1417A8B2" w14:textId="3179C8D4" w:rsidR="00BB19A9" w:rsidRPr="00BB19A9" w:rsidRDefault="00BB19A9" w:rsidP="00BB19A9">
      <w:pPr>
        <w:pStyle w:val="a4"/>
        <w:jc w:val="both"/>
        <w:rPr>
          <w:i/>
          <w:lang w:val="ru-RU"/>
        </w:rPr>
      </w:pPr>
      <w:r w:rsidRPr="00BB19A9">
        <w:rPr>
          <w:rStyle w:val="a6"/>
          <w:i/>
        </w:rPr>
        <w:footnoteRef/>
      </w:r>
      <w:r w:rsidRPr="00BB19A9">
        <w:rPr>
          <w:i/>
          <w:lang w:val="ru-RU"/>
        </w:rPr>
        <w:t xml:space="preserve"> Сведения, позволяющие определить конкретный перечень лиц, входящих в Группу компаний, будут представлены Исполнителю в течение 10 (десяти) рабочих дней с даты подписания Договора</w:t>
      </w:r>
      <w:r>
        <w:rPr>
          <w:i/>
          <w:lang w:val="ru-RU"/>
        </w:rPr>
        <w:t xml:space="preserve"> в порядке, предусмотренном разделом. 13 Договора</w:t>
      </w:r>
      <w:r w:rsidRPr="00BB19A9">
        <w:rPr>
          <w:i/>
          <w:lang w:val="ru-RU"/>
        </w:rPr>
        <w:t xml:space="preserve">.  </w:t>
      </w:r>
    </w:p>
  </w:footnote>
  <w:footnote w:id="2">
    <w:p w14:paraId="0B78497B" w14:textId="6B157EBE" w:rsidR="00A73F49" w:rsidRPr="00B800CA" w:rsidRDefault="00A73F49" w:rsidP="004E7CFD">
      <w:pPr>
        <w:pStyle w:val="a4"/>
        <w:jc w:val="both"/>
        <w:rPr>
          <w:i/>
          <w:lang w:val="ru-RU"/>
        </w:rPr>
      </w:pPr>
      <w:r>
        <w:rPr>
          <w:rStyle w:val="a6"/>
        </w:rPr>
        <w:footnoteRef/>
      </w:r>
      <w:r w:rsidRPr="00CC50E3">
        <w:rPr>
          <w:lang w:val="ru-RU"/>
        </w:rPr>
        <w:t xml:space="preserve"> </w:t>
      </w:r>
      <w:r w:rsidRPr="00E12533">
        <w:rPr>
          <w:i/>
          <w:lang w:val="ru-RU"/>
        </w:rPr>
        <w:t xml:space="preserve">Объем работ по данному </w:t>
      </w:r>
      <w:proofErr w:type="spellStart"/>
      <w:r w:rsidRPr="00E12533">
        <w:rPr>
          <w:i/>
          <w:lang w:val="ru-RU"/>
        </w:rPr>
        <w:t>подэтапу</w:t>
      </w:r>
      <w:proofErr w:type="spellEnd"/>
      <w:r w:rsidRPr="00E12533">
        <w:rPr>
          <w:i/>
          <w:lang w:val="ru-RU"/>
        </w:rPr>
        <w:t xml:space="preserve"> предполагает предварительное обследование всех доступных рабочих станций, серверов и систем хранения данных; снятие криминалистических образов</w:t>
      </w:r>
      <w:r w:rsidR="004E7CFD">
        <w:rPr>
          <w:i/>
          <w:lang w:val="ru-RU"/>
        </w:rPr>
        <w:t xml:space="preserve"> с ИТ-оборудования</w:t>
      </w:r>
      <w:r w:rsidRPr="00E12533">
        <w:rPr>
          <w:i/>
          <w:lang w:val="ru-RU"/>
        </w:rPr>
        <w:t xml:space="preserve"> суммарным объемом не более 100Тб данных.</w:t>
      </w:r>
    </w:p>
  </w:footnote>
  <w:footnote w:id="3">
    <w:p w14:paraId="187BACC8" w14:textId="763F5122" w:rsidR="00F16969" w:rsidRPr="00F16969" w:rsidRDefault="00F16969">
      <w:pPr>
        <w:pStyle w:val="a4"/>
        <w:rPr>
          <w:lang w:val="ru-RU"/>
        </w:rPr>
      </w:pPr>
      <w:r>
        <w:rPr>
          <w:rStyle w:val="a6"/>
        </w:rPr>
        <w:footnoteRef/>
      </w:r>
      <w:r w:rsidRPr="00F16969">
        <w:rPr>
          <w:lang w:val="ru-RU"/>
        </w:rPr>
        <w:t xml:space="preserve"> </w:t>
      </w:r>
      <w:r w:rsidR="002D7CD2" w:rsidRPr="002D7CD2">
        <w:rPr>
          <w:lang w:val="ru-RU"/>
        </w:rPr>
        <w:t xml:space="preserve"> </w:t>
      </w:r>
      <w:r w:rsidR="002D7CD2" w:rsidRPr="002D7CD2">
        <w:rPr>
          <w:i/>
          <w:lang w:val="ru-RU"/>
        </w:rPr>
        <w:t xml:space="preserve">Объем работы по </w:t>
      </w:r>
      <w:proofErr w:type="spellStart"/>
      <w:r w:rsidR="002D7CD2" w:rsidRPr="002D7CD2">
        <w:rPr>
          <w:i/>
          <w:lang w:val="ru-RU"/>
        </w:rPr>
        <w:t>подэтапу</w:t>
      </w:r>
      <w:proofErr w:type="spellEnd"/>
      <w:r w:rsidR="002D7CD2" w:rsidRPr="002D7CD2">
        <w:rPr>
          <w:i/>
          <w:lang w:val="ru-RU"/>
        </w:rPr>
        <w:t xml:space="preserve"> включает обращение к экспертам по анализу отношений лиц с банками на территории России - до 1000 запросов и на территории зарубежных юрисдикций - до 120 запросов.</w:t>
      </w:r>
    </w:p>
  </w:footnote>
  <w:footnote w:id="4">
    <w:p w14:paraId="20A7A97C" w14:textId="49AC1489" w:rsidR="00A73F49" w:rsidRPr="002A54D1" w:rsidRDefault="00A73F49" w:rsidP="004E7CFD">
      <w:pPr>
        <w:pStyle w:val="a4"/>
        <w:jc w:val="both"/>
        <w:rPr>
          <w:i/>
          <w:lang w:val="ru-RU"/>
        </w:rPr>
      </w:pPr>
      <w:r w:rsidRPr="001116EA">
        <w:rPr>
          <w:rStyle w:val="a6"/>
        </w:rPr>
        <w:footnoteRef/>
      </w:r>
      <w:r w:rsidRPr="001116EA">
        <w:rPr>
          <w:lang w:val="ru-RU"/>
        </w:rPr>
        <w:t xml:space="preserve"> </w:t>
      </w:r>
      <w:r w:rsidRPr="001116EA">
        <w:rPr>
          <w:i/>
          <w:lang w:val="ru-RU"/>
        </w:rPr>
        <w:t xml:space="preserve">Обработка данных объемом не более 100Тб. </w:t>
      </w:r>
      <w:r w:rsidR="004E7CFD">
        <w:rPr>
          <w:i/>
          <w:lang w:val="ru-RU"/>
        </w:rPr>
        <w:t xml:space="preserve">Анализ содержимого электронной переписки и </w:t>
      </w:r>
      <w:proofErr w:type="spellStart"/>
      <w:r w:rsidR="004E7CFD">
        <w:rPr>
          <w:i/>
          <w:lang w:val="ru-RU"/>
        </w:rPr>
        <w:t>эл.документов</w:t>
      </w:r>
      <w:proofErr w:type="spellEnd"/>
      <w:r w:rsidR="004E7CFD">
        <w:rPr>
          <w:i/>
          <w:lang w:val="ru-RU"/>
        </w:rPr>
        <w:t xml:space="preserve"> объемом до 200 </w:t>
      </w:r>
      <w:proofErr w:type="spellStart"/>
      <w:r w:rsidR="004E7CFD">
        <w:rPr>
          <w:i/>
          <w:lang w:val="ru-RU"/>
        </w:rPr>
        <w:t>тыс.уникальных</w:t>
      </w:r>
      <w:proofErr w:type="spellEnd"/>
      <w:r w:rsidR="004E7CFD">
        <w:rPr>
          <w:i/>
          <w:lang w:val="ru-RU"/>
        </w:rPr>
        <w:t xml:space="preserve"> документов (нерелевантные данные). </w:t>
      </w:r>
      <w:r w:rsidRPr="004E7CFD">
        <w:rPr>
          <w:i/>
          <w:lang w:val="ru-RU"/>
        </w:rPr>
        <w:t xml:space="preserve">Массив документов, отмеченных аналитиками подрядчика </w:t>
      </w:r>
      <w:r w:rsidR="004E7CFD" w:rsidRPr="004E7CFD">
        <w:rPr>
          <w:i/>
          <w:lang w:val="ru-RU"/>
        </w:rPr>
        <w:t>после</w:t>
      </w:r>
      <w:r w:rsidRPr="004E7CFD">
        <w:rPr>
          <w:i/>
          <w:lang w:val="ru-RU"/>
        </w:rPr>
        <w:t xml:space="preserve"> первичного просмотра документов, отобранных на основе ключевых слов, согласованных с Заказчиком, составляет не более 10 тысяч уникальных документов.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88525" w14:textId="77777777" w:rsidR="00530C86" w:rsidRDefault="00530C86">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E84F4" w14:textId="77777777" w:rsidR="00530C86" w:rsidRDefault="00530C86">
    <w:pPr>
      <w:pStyle w:val="a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341EC" w14:textId="77777777" w:rsidR="00530C86" w:rsidRDefault="00530C86">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DF29E40"/>
    <w:lvl w:ilvl="0">
      <w:start w:val="1"/>
      <w:numFmt w:val="bullet"/>
      <w:pStyle w:val="2"/>
      <w:lvlText w:val="-"/>
      <w:lvlJc w:val="left"/>
      <w:pPr>
        <w:tabs>
          <w:tab w:val="num" w:pos="623"/>
        </w:tabs>
        <w:ind w:left="623" w:hanging="340"/>
      </w:pPr>
      <w:rPr>
        <w:rFonts w:ascii="9999999" w:hAnsi="9999999" w:cs="Courier New" w:hint="default"/>
      </w:rPr>
    </w:lvl>
  </w:abstractNum>
  <w:abstractNum w:abstractNumId="1" w15:restartNumberingAfterBreak="0">
    <w:nsid w:val="1AFE2A65"/>
    <w:multiLevelType w:val="hybridMultilevel"/>
    <w:tmpl w:val="026AE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1A52DA"/>
    <w:multiLevelType w:val="multilevel"/>
    <w:tmpl w:val="5B8C9B6A"/>
    <w:lvl w:ilvl="0">
      <w:start w:val="1"/>
      <w:numFmt w:val="decimal"/>
      <w:pStyle w:val="1"/>
      <w:lvlText w:val="%1"/>
      <w:lvlJc w:val="left"/>
      <w:pPr>
        <w:tabs>
          <w:tab w:val="num" w:pos="0"/>
        </w:tabs>
        <w:ind w:left="0" w:hanging="1134"/>
      </w:pPr>
    </w:lvl>
    <w:lvl w:ilvl="1">
      <w:start w:val="1"/>
      <w:numFmt w:val="decimal"/>
      <w:pStyle w:val="20"/>
      <w:lvlText w:val="%1.%2"/>
      <w:lvlJc w:val="left"/>
      <w:pPr>
        <w:tabs>
          <w:tab w:val="num" w:pos="0"/>
        </w:tabs>
        <w:ind w:left="0" w:hanging="1134"/>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49"/>
    <w:rsid w:val="000048D4"/>
    <w:rsid w:val="00034EA2"/>
    <w:rsid w:val="000C423B"/>
    <w:rsid w:val="000E3C82"/>
    <w:rsid w:val="000F3C78"/>
    <w:rsid w:val="001723EB"/>
    <w:rsid w:val="001856C1"/>
    <w:rsid w:val="001961F8"/>
    <w:rsid w:val="001A1ABD"/>
    <w:rsid w:val="001B3DD4"/>
    <w:rsid w:val="00211CFC"/>
    <w:rsid w:val="002465AB"/>
    <w:rsid w:val="00282079"/>
    <w:rsid w:val="002D7CD2"/>
    <w:rsid w:val="002F219E"/>
    <w:rsid w:val="00332734"/>
    <w:rsid w:val="00341A3A"/>
    <w:rsid w:val="003656D7"/>
    <w:rsid w:val="003F4B17"/>
    <w:rsid w:val="00453F57"/>
    <w:rsid w:val="00456CB4"/>
    <w:rsid w:val="004635BE"/>
    <w:rsid w:val="004B5EA5"/>
    <w:rsid w:val="004E359E"/>
    <w:rsid w:val="004E7CFD"/>
    <w:rsid w:val="00530C86"/>
    <w:rsid w:val="00557B10"/>
    <w:rsid w:val="00570B80"/>
    <w:rsid w:val="005A5855"/>
    <w:rsid w:val="005B29E1"/>
    <w:rsid w:val="005B349C"/>
    <w:rsid w:val="005E1319"/>
    <w:rsid w:val="006306EE"/>
    <w:rsid w:val="00654F5E"/>
    <w:rsid w:val="00657EA2"/>
    <w:rsid w:val="006720B4"/>
    <w:rsid w:val="006D3136"/>
    <w:rsid w:val="006D3C41"/>
    <w:rsid w:val="00755BBB"/>
    <w:rsid w:val="007B1410"/>
    <w:rsid w:val="007C2FE0"/>
    <w:rsid w:val="007F34FC"/>
    <w:rsid w:val="00827DC7"/>
    <w:rsid w:val="00886343"/>
    <w:rsid w:val="008B0986"/>
    <w:rsid w:val="008D50AF"/>
    <w:rsid w:val="00911D00"/>
    <w:rsid w:val="009229CF"/>
    <w:rsid w:val="009647B3"/>
    <w:rsid w:val="009B576C"/>
    <w:rsid w:val="009D30EF"/>
    <w:rsid w:val="009D3167"/>
    <w:rsid w:val="009E71BC"/>
    <w:rsid w:val="00A73835"/>
    <w:rsid w:val="00A73F49"/>
    <w:rsid w:val="00A84CB3"/>
    <w:rsid w:val="00B07E6B"/>
    <w:rsid w:val="00B11E26"/>
    <w:rsid w:val="00B363AF"/>
    <w:rsid w:val="00B628B1"/>
    <w:rsid w:val="00BB19A9"/>
    <w:rsid w:val="00BD16A8"/>
    <w:rsid w:val="00C04A08"/>
    <w:rsid w:val="00C07670"/>
    <w:rsid w:val="00C41B0B"/>
    <w:rsid w:val="00C66C6C"/>
    <w:rsid w:val="00C72B8C"/>
    <w:rsid w:val="00C96F9D"/>
    <w:rsid w:val="00CB6E4B"/>
    <w:rsid w:val="00CC77C1"/>
    <w:rsid w:val="00CE710A"/>
    <w:rsid w:val="00D16077"/>
    <w:rsid w:val="00D20476"/>
    <w:rsid w:val="00D40D60"/>
    <w:rsid w:val="00DC4F87"/>
    <w:rsid w:val="00DE32CF"/>
    <w:rsid w:val="00E24DB0"/>
    <w:rsid w:val="00E60C69"/>
    <w:rsid w:val="00EF1711"/>
    <w:rsid w:val="00EF5575"/>
    <w:rsid w:val="00F15C4F"/>
    <w:rsid w:val="00F16969"/>
    <w:rsid w:val="00FD2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D7846"/>
  <w15:chartTrackingRefBased/>
  <w15:docId w15:val="{0DB39322-1368-41F5-9C54-783019EF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Arial"/>
        <w:spacing w:val="-4"/>
        <w:szCs w:val="16"/>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73F49"/>
    <w:pPr>
      <w:keepNext/>
      <w:keepLines/>
      <w:numPr>
        <w:numId w:val="3"/>
      </w:numPr>
      <w:spacing w:before="240" w:after="0"/>
      <w:outlineLvl w:val="0"/>
    </w:pPr>
    <w:rPr>
      <w:rFonts w:asciiTheme="majorHAnsi" w:eastAsiaTheme="majorEastAsia" w:hAnsiTheme="majorHAnsi" w:cstheme="majorBidi"/>
      <w:color w:val="2E74B5" w:themeColor="accent1" w:themeShade="BF"/>
      <w:spacing w:val="0"/>
      <w:sz w:val="32"/>
      <w:szCs w:val="32"/>
      <w:lang w:val="en-US"/>
    </w:rPr>
  </w:style>
  <w:style w:type="paragraph" w:styleId="20">
    <w:name w:val="heading 2"/>
    <w:basedOn w:val="a"/>
    <w:next w:val="a"/>
    <w:link w:val="21"/>
    <w:uiPriority w:val="9"/>
    <w:unhideWhenUsed/>
    <w:qFormat/>
    <w:rsid w:val="00A73F49"/>
    <w:pPr>
      <w:keepNext/>
      <w:keepLines/>
      <w:numPr>
        <w:ilvl w:val="1"/>
        <w:numId w:val="3"/>
      </w:numPr>
      <w:spacing w:before="40" w:after="0"/>
      <w:outlineLvl w:val="1"/>
    </w:pPr>
    <w:rPr>
      <w:rFonts w:asciiTheme="majorHAnsi" w:eastAsiaTheme="majorEastAsia" w:hAnsiTheme="majorHAnsi" w:cstheme="majorBidi"/>
      <w:color w:val="2E74B5" w:themeColor="accent1" w:themeShade="BF"/>
      <w:spacing w:val="0"/>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3F49"/>
    <w:pPr>
      <w:autoSpaceDE w:val="0"/>
      <w:autoSpaceDN w:val="0"/>
      <w:adjustRightInd w:val="0"/>
      <w:spacing w:after="0" w:line="240" w:lineRule="auto"/>
    </w:pPr>
    <w:rPr>
      <w:rFonts w:ascii="Arial" w:hAnsi="Arial"/>
      <w:color w:val="000000"/>
      <w:sz w:val="24"/>
      <w:szCs w:val="24"/>
    </w:rPr>
  </w:style>
  <w:style w:type="paragraph" w:styleId="2">
    <w:name w:val="List Bullet 2"/>
    <w:basedOn w:val="a"/>
    <w:uiPriority w:val="99"/>
    <w:unhideWhenUsed/>
    <w:rsid w:val="00A73F49"/>
    <w:pPr>
      <w:numPr>
        <w:numId w:val="1"/>
      </w:numPr>
      <w:contextualSpacing/>
    </w:pPr>
    <w:rPr>
      <w:rFonts w:asciiTheme="minorHAnsi" w:hAnsiTheme="minorHAnsi" w:cstheme="minorBidi"/>
      <w:spacing w:val="0"/>
      <w:sz w:val="22"/>
      <w:szCs w:val="22"/>
      <w:lang w:val="en-US"/>
    </w:rPr>
  </w:style>
  <w:style w:type="paragraph" w:styleId="a4">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Зн,Текст сноски Зна"/>
    <w:basedOn w:val="a"/>
    <w:link w:val="a5"/>
    <w:unhideWhenUsed/>
    <w:qFormat/>
    <w:rsid w:val="00A73F49"/>
    <w:pPr>
      <w:spacing w:after="0" w:line="240" w:lineRule="auto"/>
    </w:pPr>
    <w:rPr>
      <w:rFonts w:asciiTheme="minorHAnsi" w:hAnsiTheme="minorHAnsi" w:cstheme="minorBidi"/>
      <w:spacing w:val="0"/>
      <w:szCs w:val="20"/>
      <w:lang w:val="en-US"/>
    </w:rPr>
  </w:style>
  <w:style w:type="character" w:customStyle="1" w:styleId="a5">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4"/>
    <w:rsid w:val="00A73F49"/>
    <w:rPr>
      <w:rFonts w:asciiTheme="minorHAnsi" w:hAnsiTheme="minorHAnsi" w:cstheme="minorBidi"/>
      <w:spacing w:val="0"/>
      <w:szCs w:val="20"/>
      <w:lang w:val="en-US"/>
    </w:rPr>
  </w:style>
  <w:style w:type="character" w:styleId="a6">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
    <w:basedOn w:val="a0"/>
    <w:uiPriority w:val="99"/>
    <w:unhideWhenUsed/>
    <w:qFormat/>
    <w:rsid w:val="00A73F49"/>
    <w:rPr>
      <w:vertAlign w:val="superscript"/>
    </w:rPr>
  </w:style>
  <w:style w:type="paragraph" w:styleId="a7">
    <w:name w:val="Body Text"/>
    <w:basedOn w:val="a"/>
    <w:link w:val="a8"/>
    <w:uiPriority w:val="99"/>
    <w:unhideWhenUsed/>
    <w:rsid w:val="00A73F49"/>
    <w:pPr>
      <w:spacing w:after="120"/>
    </w:pPr>
    <w:rPr>
      <w:rFonts w:asciiTheme="minorHAnsi" w:hAnsiTheme="minorHAnsi" w:cstheme="minorBidi"/>
      <w:spacing w:val="0"/>
      <w:sz w:val="22"/>
      <w:szCs w:val="22"/>
      <w:lang w:val="en-US"/>
    </w:rPr>
  </w:style>
  <w:style w:type="character" w:customStyle="1" w:styleId="a8">
    <w:name w:val="Основной текст Знак"/>
    <w:basedOn w:val="a0"/>
    <w:link w:val="a7"/>
    <w:uiPriority w:val="99"/>
    <w:rsid w:val="00A73F49"/>
    <w:rPr>
      <w:rFonts w:asciiTheme="minorHAnsi" w:hAnsiTheme="minorHAnsi" w:cstheme="minorBidi"/>
      <w:spacing w:val="0"/>
      <w:sz w:val="22"/>
      <w:szCs w:val="22"/>
      <w:lang w:val="en-US"/>
    </w:rPr>
  </w:style>
  <w:style w:type="character" w:customStyle="1" w:styleId="10">
    <w:name w:val="Заголовок 1 Знак"/>
    <w:basedOn w:val="a0"/>
    <w:link w:val="1"/>
    <w:uiPriority w:val="9"/>
    <w:rsid w:val="00A73F49"/>
    <w:rPr>
      <w:rFonts w:asciiTheme="majorHAnsi" w:eastAsiaTheme="majorEastAsia" w:hAnsiTheme="majorHAnsi" w:cstheme="majorBidi"/>
      <w:color w:val="2E74B5" w:themeColor="accent1" w:themeShade="BF"/>
      <w:spacing w:val="0"/>
      <w:sz w:val="32"/>
      <w:szCs w:val="32"/>
      <w:lang w:val="en-US"/>
    </w:rPr>
  </w:style>
  <w:style w:type="character" w:customStyle="1" w:styleId="21">
    <w:name w:val="Заголовок 2 Знак"/>
    <w:basedOn w:val="a0"/>
    <w:link w:val="20"/>
    <w:uiPriority w:val="9"/>
    <w:rsid w:val="00A73F49"/>
    <w:rPr>
      <w:rFonts w:asciiTheme="majorHAnsi" w:eastAsiaTheme="majorEastAsia" w:hAnsiTheme="majorHAnsi" w:cstheme="majorBidi"/>
      <w:color w:val="2E74B5" w:themeColor="accent1" w:themeShade="BF"/>
      <w:spacing w:val="0"/>
      <w:sz w:val="26"/>
      <w:szCs w:val="26"/>
      <w:lang w:val="en-US"/>
    </w:rPr>
  </w:style>
  <w:style w:type="character" w:styleId="a9">
    <w:name w:val="annotation reference"/>
    <w:basedOn w:val="a0"/>
    <w:uiPriority w:val="99"/>
    <w:semiHidden/>
    <w:unhideWhenUsed/>
    <w:rsid w:val="00A73F49"/>
    <w:rPr>
      <w:sz w:val="16"/>
      <w:szCs w:val="16"/>
    </w:rPr>
  </w:style>
  <w:style w:type="paragraph" w:styleId="aa">
    <w:name w:val="annotation text"/>
    <w:basedOn w:val="a"/>
    <w:link w:val="ab"/>
    <w:uiPriority w:val="99"/>
    <w:semiHidden/>
    <w:unhideWhenUsed/>
    <w:rsid w:val="00A73F49"/>
    <w:pPr>
      <w:spacing w:line="240" w:lineRule="auto"/>
    </w:pPr>
    <w:rPr>
      <w:szCs w:val="20"/>
    </w:rPr>
  </w:style>
  <w:style w:type="character" w:customStyle="1" w:styleId="ab">
    <w:name w:val="Текст примечания Знак"/>
    <w:basedOn w:val="a0"/>
    <w:link w:val="aa"/>
    <w:uiPriority w:val="99"/>
    <w:semiHidden/>
    <w:rsid w:val="00A73F49"/>
    <w:rPr>
      <w:szCs w:val="20"/>
    </w:rPr>
  </w:style>
  <w:style w:type="paragraph" w:styleId="ac">
    <w:name w:val="annotation subject"/>
    <w:basedOn w:val="aa"/>
    <w:next w:val="aa"/>
    <w:link w:val="ad"/>
    <w:uiPriority w:val="99"/>
    <w:semiHidden/>
    <w:unhideWhenUsed/>
    <w:rsid w:val="00A73F49"/>
    <w:rPr>
      <w:b/>
      <w:bCs/>
    </w:rPr>
  </w:style>
  <w:style w:type="character" w:customStyle="1" w:styleId="ad">
    <w:name w:val="Тема примечания Знак"/>
    <w:basedOn w:val="ab"/>
    <w:link w:val="ac"/>
    <w:uiPriority w:val="99"/>
    <w:semiHidden/>
    <w:rsid w:val="00A73F49"/>
    <w:rPr>
      <w:b/>
      <w:bCs/>
      <w:szCs w:val="20"/>
    </w:rPr>
  </w:style>
  <w:style w:type="paragraph" w:styleId="ae">
    <w:name w:val="Balloon Text"/>
    <w:basedOn w:val="a"/>
    <w:link w:val="af"/>
    <w:uiPriority w:val="99"/>
    <w:semiHidden/>
    <w:unhideWhenUsed/>
    <w:rsid w:val="00A73F4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73F49"/>
    <w:rPr>
      <w:rFonts w:ascii="Segoe UI" w:hAnsi="Segoe UI" w:cs="Segoe UI"/>
      <w:sz w:val="18"/>
      <w:szCs w:val="18"/>
    </w:rPr>
  </w:style>
  <w:style w:type="paragraph" w:styleId="af0">
    <w:name w:val="header"/>
    <w:basedOn w:val="a"/>
    <w:link w:val="af1"/>
    <w:uiPriority w:val="99"/>
    <w:unhideWhenUsed/>
    <w:rsid w:val="00530C8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30C86"/>
  </w:style>
  <w:style w:type="paragraph" w:styleId="af2">
    <w:name w:val="footer"/>
    <w:basedOn w:val="a"/>
    <w:link w:val="af3"/>
    <w:uiPriority w:val="99"/>
    <w:unhideWhenUsed/>
    <w:rsid w:val="00530C8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30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B28DF-DC9E-473F-A528-F8DC7F37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1066</Words>
  <Characters>6080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Чернова Евгения Сергеевна</dc:creator>
  <cp:keywords/>
  <dc:description/>
  <cp:lastModifiedBy>Бухтияров Вячеслав Сергеевич</cp:lastModifiedBy>
  <cp:revision>2</cp:revision>
  <cp:lastPrinted>2020-01-09T12:59:00Z</cp:lastPrinted>
  <dcterms:created xsi:type="dcterms:W3CDTF">2020-01-15T08:23:00Z</dcterms:created>
  <dcterms:modified xsi:type="dcterms:W3CDTF">2020-01-15T08:23:00Z</dcterms:modified>
</cp:coreProperties>
</file>